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EE0469" w:rsidP="00EE0469">
      <w:pPr>
        <w:pStyle w:val="af7"/>
        <w:spacing w:line="520" w:lineRule="exact"/>
        <w:rPr>
          <w:rFonts w:ascii="宋体" w:eastAsia="宋体" w:hAnsi="宋体" w:cs="宋体"/>
        </w:rPr>
      </w:pPr>
    </w:p>
    <w:p w:rsidR="00EE0469" w:rsidRDefault="00506BA0" w:rsidP="00EE0469">
      <w:pPr>
        <w:spacing w:line="520" w:lineRule="exact"/>
        <w:ind w:left="880" w:hanging="880"/>
        <w:jc w:val="center"/>
        <w:rPr>
          <w:rFonts w:ascii="方正小标宋_GBK" w:eastAsia="方正小标宋_GBK" w:cs="文星简黑体"/>
          <w:sz w:val="44"/>
          <w:szCs w:val="44"/>
        </w:rPr>
      </w:pPr>
      <w:r>
        <w:rPr>
          <w:rFonts w:ascii="宋体" w:hAnsi="宋体" w:hint="eastAsia"/>
          <w:b/>
          <w:sz w:val="44"/>
          <w:szCs w:val="44"/>
        </w:rPr>
        <w:t>2020</w:t>
      </w:r>
      <w:r w:rsidR="00EE0469">
        <w:rPr>
          <w:rFonts w:ascii="方正小标宋_GBK" w:eastAsia="方正小标宋_GBK" w:cs="文星简黑体" w:hint="eastAsia"/>
          <w:sz w:val="44"/>
          <w:szCs w:val="44"/>
        </w:rPr>
        <w:t>年度</w:t>
      </w:r>
      <w:r>
        <w:rPr>
          <w:rFonts w:ascii="宋体" w:hAnsi="宋体" w:hint="eastAsia"/>
          <w:b/>
          <w:sz w:val="44"/>
          <w:szCs w:val="44"/>
        </w:rPr>
        <w:t>青岛市文化和旅游局部门</w:t>
      </w:r>
    </w:p>
    <w:p w:rsidR="00EE0469" w:rsidRDefault="00EE0469" w:rsidP="00EE0469">
      <w:pPr>
        <w:spacing w:line="520" w:lineRule="exact"/>
        <w:ind w:left="880" w:hanging="880"/>
        <w:jc w:val="center"/>
        <w:rPr>
          <w:rFonts w:ascii="方正小标宋_GBK" w:eastAsia="方正小标宋_GBK" w:cs="文星简黑体"/>
          <w:sz w:val="44"/>
          <w:szCs w:val="44"/>
        </w:rPr>
      </w:pPr>
      <w:r>
        <w:rPr>
          <w:rFonts w:ascii="方正小标宋_GBK" w:eastAsia="方正小标宋_GBK" w:cs="文星简黑体" w:hint="eastAsia"/>
          <w:sz w:val="44"/>
          <w:szCs w:val="44"/>
        </w:rPr>
        <w:t>整体支出绩效评价报告</w:t>
      </w:r>
    </w:p>
    <w:p w:rsidR="00EE0469" w:rsidRDefault="00EE0469" w:rsidP="00EE0469">
      <w:pPr>
        <w:spacing w:line="520" w:lineRule="exact"/>
        <w:ind w:left="1040" w:hanging="1040"/>
        <w:jc w:val="right"/>
        <w:rPr>
          <w:rFonts w:ascii="文星简黑体" w:eastAsia="文星简黑体"/>
          <w:sz w:val="52"/>
          <w:szCs w:val="52"/>
        </w:rPr>
      </w:pPr>
    </w:p>
    <w:p w:rsidR="00EE0469" w:rsidRDefault="00EE0469" w:rsidP="00EE0469">
      <w:pPr>
        <w:spacing w:line="520" w:lineRule="exact"/>
        <w:ind w:left="1040" w:hanging="1040"/>
        <w:jc w:val="center"/>
        <w:rPr>
          <w:rFonts w:ascii="文星简黑体" w:eastAsia="文星简黑体"/>
          <w:sz w:val="52"/>
          <w:szCs w:val="52"/>
        </w:rPr>
      </w:pPr>
    </w:p>
    <w:p w:rsidR="00EE0469" w:rsidRDefault="00EE0469" w:rsidP="00EE0469">
      <w:pPr>
        <w:spacing w:line="520" w:lineRule="exact"/>
        <w:ind w:left="1040" w:hanging="1040"/>
        <w:jc w:val="center"/>
        <w:rPr>
          <w:rFonts w:ascii="文星简黑体" w:eastAsia="文星简黑体"/>
          <w:sz w:val="52"/>
          <w:szCs w:val="52"/>
        </w:rPr>
      </w:pPr>
    </w:p>
    <w:p w:rsidR="00EE0469" w:rsidRPr="00506BA0" w:rsidRDefault="00EE0469" w:rsidP="00EE0469">
      <w:pPr>
        <w:spacing w:before="120" w:after="120" w:line="520" w:lineRule="exact"/>
        <w:ind w:left="2240" w:hangingChars="700" w:hanging="2240"/>
        <w:rPr>
          <w:rFonts w:ascii="黑体" w:eastAsia="黑体" w:hAnsi="黑体" w:cs="文星简黑体"/>
          <w:sz w:val="32"/>
          <w:szCs w:val="32"/>
        </w:rPr>
      </w:pPr>
      <w:r>
        <w:rPr>
          <w:rFonts w:ascii="黑体" w:eastAsia="黑体" w:hAnsi="黑体" w:cs="文星简黑体" w:hint="eastAsia"/>
          <w:sz w:val="32"/>
          <w:szCs w:val="32"/>
        </w:rPr>
        <w:t>被评价单位：</w:t>
      </w:r>
      <w:r w:rsidR="00506BA0" w:rsidRPr="00506BA0">
        <w:rPr>
          <w:rFonts w:ascii="黑体" w:eastAsia="黑体" w:hAnsi="黑体" w:cs="文星简黑体" w:hint="eastAsia"/>
          <w:sz w:val="32"/>
          <w:szCs w:val="32"/>
        </w:rPr>
        <w:t>青岛市文化和旅游局部门</w:t>
      </w:r>
    </w:p>
    <w:p w:rsidR="00EE0469" w:rsidRDefault="00EE0469" w:rsidP="00EE0469">
      <w:pPr>
        <w:spacing w:before="120" w:after="120" w:line="520" w:lineRule="exact"/>
        <w:ind w:left="640" w:hanging="640"/>
        <w:jc w:val="left"/>
        <w:rPr>
          <w:rFonts w:ascii="黑体" w:eastAsia="黑体" w:hAnsi="黑体"/>
          <w:sz w:val="32"/>
          <w:szCs w:val="32"/>
        </w:rPr>
      </w:pPr>
      <w:r w:rsidRPr="00EE0469">
        <w:rPr>
          <w:rFonts w:ascii="黑体" w:eastAsia="黑体" w:hAnsi="黑体" w:cs="文星简黑体" w:hint="eastAsia"/>
          <w:spacing w:val="53"/>
          <w:kern w:val="0"/>
          <w:sz w:val="32"/>
          <w:szCs w:val="32"/>
          <w:fitText w:val="1600" w:id="-1812178688"/>
        </w:rPr>
        <w:t>评价单</w:t>
      </w:r>
      <w:r w:rsidRPr="00EE0469">
        <w:rPr>
          <w:rFonts w:ascii="黑体" w:eastAsia="黑体" w:hAnsi="黑体" w:cs="文星简黑体" w:hint="eastAsia"/>
          <w:spacing w:val="1"/>
          <w:kern w:val="0"/>
          <w:sz w:val="32"/>
          <w:szCs w:val="32"/>
          <w:fitText w:val="1600" w:id="-1812178688"/>
        </w:rPr>
        <w:t>位</w:t>
      </w:r>
      <w:r>
        <w:rPr>
          <w:rFonts w:ascii="黑体" w:eastAsia="黑体" w:hAnsi="黑体" w:cs="文星简黑体" w:hint="eastAsia"/>
          <w:sz w:val="32"/>
          <w:szCs w:val="32"/>
        </w:rPr>
        <w:t>：</w:t>
      </w:r>
      <w:r w:rsidR="00506BA0" w:rsidRPr="00506BA0">
        <w:rPr>
          <w:rFonts w:ascii="黑体" w:eastAsia="黑体" w:hAnsi="黑体" w:cs="文星简黑体" w:hint="eastAsia"/>
          <w:sz w:val="32"/>
          <w:szCs w:val="32"/>
        </w:rPr>
        <w:t>青岛市文化和旅游局部门</w:t>
      </w:r>
    </w:p>
    <w:p w:rsidR="00EE0469" w:rsidRDefault="00EE0469" w:rsidP="00EE0469">
      <w:pPr>
        <w:spacing w:before="120" w:after="120" w:line="520" w:lineRule="exact"/>
        <w:ind w:left="640" w:hanging="640"/>
        <w:jc w:val="center"/>
        <w:rPr>
          <w:rFonts w:ascii="黑体" w:eastAsia="黑体" w:hAnsi="黑体"/>
          <w:sz w:val="32"/>
          <w:szCs w:val="32"/>
        </w:rPr>
      </w:pPr>
    </w:p>
    <w:p w:rsidR="00EE0469" w:rsidRDefault="00EE0469" w:rsidP="00EE0469">
      <w:pPr>
        <w:spacing w:before="120" w:after="120" w:line="520" w:lineRule="exact"/>
        <w:rPr>
          <w:rFonts w:ascii="黑体" w:eastAsia="黑体" w:hAnsi="黑体"/>
          <w:sz w:val="32"/>
          <w:szCs w:val="32"/>
        </w:rPr>
      </w:pPr>
    </w:p>
    <w:p w:rsidR="00EE0469" w:rsidRDefault="00506BA0" w:rsidP="00EE0469">
      <w:pPr>
        <w:spacing w:before="120" w:after="120" w:line="520" w:lineRule="exact"/>
        <w:jc w:val="center"/>
        <w:rPr>
          <w:rFonts w:ascii="黑体" w:eastAsia="黑体" w:hAnsi="黑体" w:cs="文星简黑体"/>
          <w:sz w:val="32"/>
          <w:szCs w:val="32"/>
        </w:rPr>
      </w:pPr>
      <w:r>
        <w:rPr>
          <w:rFonts w:ascii="黑体" w:eastAsia="黑体" w:hAnsi="黑体" w:cs="文星简黑体" w:hint="eastAsia"/>
          <w:sz w:val="32"/>
          <w:szCs w:val="32"/>
        </w:rPr>
        <w:t>2021</w:t>
      </w:r>
      <w:r w:rsidR="00EE0469">
        <w:rPr>
          <w:rFonts w:ascii="黑体" w:eastAsia="黑体" w:hAnsi="黑体" w:cs="文星简黑体" w:hint="eastAsia"/>
          <w:sz w:val="32"/>
          <w:szCs w:val="32"/>
        </w:rPr>
        <w:t>年</w:t>
      </w:r>
      <w:r>
        <w:rPr>
          <w:rFonts w:ascii="黑体" w:eastAsia="黑体" w:hAnsi="黑体" w:cs="文星简黑体" w:hint="eastAsia"/>
          <w:sz w:val="32"/>
          <w:szCs w:val="32"/>
        </w:rPr>
        <w:t>4</w:t>
      </w:r>
      <w:r w:rsidR="00EE0469">
        <w:rPr>
          <w:rFonts w:ascii="黑体" w:eastAsia="黑体" w:hAnsi="黑体" w:cs="文星简黑体" w:hint="eastAsia"/>
          <w:sz w:val="32"/>
          <w:szCs w:val="32"/>
        </w:rPr>
        <w:t>月</w:t>
      </w:r>
    </w:p>
    <w:p w:rsidR="00EE0469" w:rsidRDefault="00EE0469" w:rsidP="00EE0469">
      <w:pPr>
        <w:spacing w:before="120" w:after="120" w:line="520" w:lineRule="exact"/>
        <w:jc w:val="center"/>
        <w:rPr>
          <w:rFonts w:ascii="黑体" w:eastAsia="黑体" w:hAnsi="黑体" w:cs="文星简黑体"/>
          <w:sz w:val="32"/>
          <w:szCs w:val="32"/>
        </w:rPr>
      </w:pPr>
    </w:p>
    <w:p w:rsidR="00EE0469" w:rsidRDefault="00EE0469" w:rsidP="00EE0469">
      <w:pPr>
        <w:widowControl/>
        <w:spacing w:line="520" w:lineRule="exact"/>
        <w:jc w:val="left"/>
        <w:rPr>
          <w:rFonts w:ascii="Times New Roman" w:eastAsia="黑体" w:hAnsi="Times New Roman" w:cs="Times New Roman"/>
          <w:b/>
          <w:kern w:val="0"/>
          <w:sz w:val="28"/>
          <w:szCs w:val="28"/>
          <w:lang w:val="zh-CN"/>
        </w:rPr>
      </w:pPr>
    </w:p>
    <w:p w:rsidR="00EE0469" w:rsidRDefault="00EE0469" w:rsidP="00EE0469">
      <w:pPr>
        <w:widowControl/>
        <w:jc w:val="left"/>
        <w:rPr>
          <w:rFonts w:ascii="Times New Roman" w:eastAsia="黑体" w:hAnsi="Times New Roman" w:cs="Times New Roman"/>
          <w:b/>
          <w:kern w:val="0"/>
          <w:sz w:val="28"/>
          <w:szCs w:val="28"/>
          <w:lang w:val="zh-CN"/>
        </w:rPr>
        <w:sectPr w:rsidR="00EE0469">
          <w:footnotePr>
            <w:numRestart w:val="eachPage"/>
          </w:footnotePr>
          <w:pgSz w:w="11906" w:h="16838"/>
          <w:pgMar w:top="1440" w:right="1800" w:bottom="1440" w:left="1800" w:header="851" w:footer="992" w:gutter="0"/>
          <w:cols w:space="720"/>
        </w:sectPr>
      </w:pPr>
    </w:p>
    <w:p w:rsidR="00EE0469" w:rsidRDefault="00506BA0" w:rsidP="00EE0469">
      <w:pPr>
        <w:pStyle w:val="a2"/>
        <w:spacing w:line="520" w:lineRule="exact"/>
        <w:ind w:firstLine="883"/>
        <w:jc w:val="center"/>
        <w:rPr>
          <w:rFonts w:eastAsia="黑体"/>
          <w:b/>
          <w:bCs/>
          <w:sz w:val="30"/>
          <w:szCs w:val="30"/>
          <w:lang w:val="en-US"/>
        </w:rPr>
      </w:pPr>
      <w:r>
        <w:rPr>
          <w:rFonts w:ascii="宋体" w:hAnsi="宋体" w:hint="eastAsia"/>
          <w:b/>
          <w:sz w:val="44"/>
          <w:szCs w:val="44"/>
        </w:rPr>
        <w:lastRenderedPageBreak/>
        <w:t>2020</w:t>
      </w:r>
      <w:r w:rsidR="00EE0469">
        <w:rPr>
          <w:rFonts w:ascii="宋体" w:hAnsi="宋体" w:hint="eastAsia"/>
          <w:b/>
          <w:sz w:val="44"/>
          <w:szCs w:val="44"/>
        </w:rPr>
        <w:t>年度</w:t>
      </w:r>
      <w:r>
        <w:rPr>
          <w:rFonts w:ascii="宋体" w:hAnsi="宋体" w:hint="eastAsia"/>
          <w:b/>
          <w:sz w:val="44"/>
          <w:szCs w:val="44"/>
        </w:rPr>
        <w:t>青岛市文化和旅游局部门</w:t>
      </w:r>
      <w:r w:rsidR="00EE0469">
        <w:rPr>
          <w:rFonts w:ascii="宋体" w:hAnsi="宋体" w:hint="eastAsia"/>
          <w:b/>
          <w:sz w:val="44"/>
          <w:szCs w:val="44"/>
        </w:rPr>
        <w:t>整体支出绩效评价报告</w:t>
      </w:r>
    </w:p>
    <w:p w:rsidR="00EE0469" w:rsidRDefault="00EE0469" w:rsidP="00EE0469">
      <w:pPr>
        <w:pStyle w:val="1"/>
        <w:numPr>
          <w:ilvl w:val="0"/>
          <w:numId w:val="2"/>
        </w:numPr>
        <w:spacing w:line="520" w:lineRule="exact"/>
        <w:ind w:left="0" w:firstLine="640"/>
        <w:rPr>
          <w:lang w:val="en-US"/>
        </w:rPr>
      </w:pPr>
      <w:r>
        <w:rPr>
          <w:rFonts w:hint="eastAsia"/>
          <w:lang w:val="en-US"/>
        </w:rPr>
        <w:t>部门概况</w:t>
      </w:r>
    </w:p>
    <w:p w:rsidR="00EE0469" w:rsidRDefault="00EE0469" w:rsidP="00EE0469">
      <w:pPr>
        <w:pStyle w:val="3"/>
        <w:numPr>
          <w:ilvl w:val="0"/>
          <w:numId w:val="0"/>
        </w:numPr>
        <w:spacing w:line="520" w:lineRule="exact"/>
        <w:ind w:left="640"/>
        <w:rPr>
          <w:rFonts w:eastAsia="楷体_GB2312"/>
          <w:b w:val="0"/>
          <w:sz w:val="32"/>
          <w:lang w:val="en-US"/>
        </w:rPr>
      </w:pPr>
      <w:r>
        <w:rPr>
          <w:rFonts w:eastAsia="楷体_GB2312" w:hint="eastAsia"/>
          <w:b w:val="0"/>
          <w:sz w:val="32"/>
          <w:lang w:val="en-US"/>
        </w:rPr>
        <w:t>（一）部门设立背景及概况</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hint="eastAsia"/>
          <w:sz w:val="32"/>
          <w:szCs w:val="28"/>
        </w:rPr>
        <w:t>根据中央机构编制委员会备案审查同意，省委、省政府批准的《青岛市机构改革方案》和市委、市政府《关于青岛市市级机构改革的实施意见》，青岛市文化和旅游局（以下简称市文化和旅游局）是市政府工作部门，为正局级，加挂青岛市新闻出版广电局、青岛市文物局（以下简称市新闻出版广电局、市文物局）牌子，归口市委宣传部领导。</w:t>
      </w:r>
    </w:p>
    <w:p w:rsidR="00EE0469" w:rsidRDefault="00EE0469" w:rsidP="00EE0469">
      <w:pPr>
        <w:pStyle w:val="3"/>
        <w:numPr>
          <w:ilvl w:val="0"/>
          <w:numId w:val="0"/>
        </w:numPr>
        <w:spacing w:line="520" w:lineRule="exact"/>
        <w:ind w:left="640"/>
        <w:rPr>
          <w:rFonts w:eastAsia="楷体_GB2312"/>
          <w:b w:val="0"/>
          <w:sz w:val="32"/>
          <w:lang w:val="en-US"/>
        </w:rPr>
      </w:pPr>
      <w:r>
        <w:rPr>
          <w:rFonts w:eastAsia="楷体_GB2312" w:hint="eastAsia"/>
          <w:b w:val="0"/>
          <w:sz w:val="32"/>
          <w:lang w:val="en-US"/>
        </w:rPr>
        <w:t>（二）部门职能、架构及战略目标</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根据《青岛市文化和旅游局职能配置、内设机构和人员编制规定》，市文化和旅游局贯彻党中央关于文化和旅游工作的方针政策</w:t>
      </w:r>
      <w:r w:rsidRPr="0030272C">
        <w:rPr>
          <w:rFonts w:ascii="仿宋_GB2312" w:eastAsia="仿宋_GB2312" w:hAnsi="Times New Roman" w:cs="Times New Roman" w:hint="eastAsia"/>
          <w:sz w:val="32"/>
          <w:szCs w:val="28"/>
        </w:rPr>
        <w:t>及</w:t>
      </w:r>
      <w:r w:rsidRPr="0030272C">
        <w:rPr>
          <w:rFonts w:ascii="仿宋_GB2312" w:eastAsia="仿宋_GB2312" w:hAnsi="Times New Roman" w:cs="Times New Roman"/>
          <w:sz w:val="32"/>
          <w:szCs w:val="28"/>
        </w:rPr>
        <w:t>决策部署，落实省委、市委工作要求，在履行职责过程中坚持和加强党对文化和旅游工作的集中统一领导。主要职责是：</w:t>
      </w:r>
    </w:p>
    <w:p w:rsidR="00506BA0" w:rsidRDefault="00506BA0" w:rsidP="00506BA0">
      <w:pPr>
        <w:tabs>
          <w:tab w:val="left" w:pos="3771"/>
        </w:tabs>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1.</w:t>
      </w:r>
      <w:r>
        <w:rPr>
          <w:rFonts w:ascii="Times New Roman" w:eastAsia="仿宋" w:hAnsi="Times New Roman" w:cs="Times New Roman"/>
          <w:b/>
          <w:bCs/>
          <w:sz w:val="32"/>
          <w:szCs w:val="32"/>
        </w:rPr>
        <w:t>部门职能</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Pr>
          <w:rFonts w:ascii="Times New Roman" w:eastAsia="仿宋" w:hAnsi="Times New Roman" w:cs="Times New Roman"/>
          <w:sz w:val="32"/>
          <w:szCs w:val="32"/>
        </w:rPr>
        <w:t>（</w:t>
      </w:r>
      <w:r w:rsidRPr="0030272C">
        <w:rPr>
          <w:rFonts w:ascii="仿宋_GB2312" w:eastAsia="仿宋_GB2312" w:hAnsi="Times New Roman" w:cs="Times New Roman"/>
          <w:sz w:val="32"/>
          <w:szCs w:val="28"/>
        </w:rPr>
        <w:t>1）贯彻落实文化、旅游、新闻出版、广播电视、电影、版权和文物等方面的法律法规、方针政策，起草相关地方性法规和政府规章草案。</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（2）负责统筹全市文化、旅游、新闻出版、广播电视、电影、版权和文物等工作，拟订发展规划、政策措施并组织实施，推进文化产业、旅游业与相关产业融合发展，推进文</w:t>
      </w:r>
      <w:r w:rsidRPr="0030272C">
        <w:rPr>
          <w:rFonts w:ascii="仿宋_GB2312" w:eastAsia="仿宋_GB2312" w:hAnsi="Times New Roman" w:cs="Times New Roman"/>
          <w:sz w:val="32"/>
          <w:szCs w:val="28"/>
        </w:rPr>
        <w:lastRenderedPageBreak/>
        <w:t>化和旅游体制机制改革工作。</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bookmarkStart w:id="0" w:name="_GoBack"/>
      <w:bookmarkEnd w:id="0"/>
      <w:r w:rsidRPr="0030272C">
        <w:rPr>
          <w:rFonts w:ascii="仿宋_GB2312" w:eastAsia="仿宋_GB2312" w:hAnsi="Times New Roman" w:cs="Times New Roman"/>
          <w:sz w:val="32"/>
          <w:szCs w:val="28"/>
        </w:rPr>
        <w:t>（3）负责管理全市性重大文化和旅游活动，指导重点文化和旅游设施建设，指导、推进全域旅游。</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（4）负责指导、管理全市文艺事业，指导艺术创作生产，扶持体现社会主义核心价值观、具有导向性代表性示范性的文艺作品，推动各门类艺术、各艺术品种发展。</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（5）负责全市公共文化事业发展，推进公共文化服务体系建设、旅游公共服务建设，深入实施文化惠民工程，统筹推进基本公共文化服务标准化、均等化。</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（6）负责指导、推进全市文化和旅游科技创新发展，推进行业信息化、标准化建设。</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（7）承担弘扬优秀传统文化相关工作，牵头拟订全市弘扬优秀传统文化规划，会同有关部门实施齐鲁文化传承创新工程。负责推动非物质文化遗产和优秀民族民间文化保护、传承、普及、弘扬和振兴。</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8）负责统筹规划全市文化产业和旅游产业，组织实施文化和旅游资源普查、挖掘、保护、开发和利用工作，推进文化和旅游领域招商引资、招才引智，加快新旧动能转换，促进文化产业和旅游产业高质量发展。</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（9）负责制定全市文化和旅游市场开发推广战略并组织实施，宣传推广青岛滨海度假旅游城市整体形象，建设旅游品牌体系。</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（10）负责管理和指导全市文化和旅游市场发展，对文化和旅游市场经营进行行业监管，推进文化和旅游行业信用</w:t>
      </w:r>
      <w:r w:rsidRPr="0030272C">
        <w:rPr>
          <w:rFonts w:ascii="仿宋_GB2312" w:eastAsia="仿宋_GB2312" w:hAnsi="Times New Roman" w:cs="Times New Roman"/>
          <w:sz w:val="32"/>
          <w:szCs w:val="28"/>
        </w:rPr>
        <w:lastRenderedPageBreak/>
        <w:t>体系建设，依法规范文化和旅游市场。</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（11）负责管理和指导全市新闻出版与版权工作。对图书、报纸、期刊、音像制品、电子出版物(数字出版物)等出版、印刷、复制、发行活动以及内容进行监管。承担版权管理工作。</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（12）负责管理和指导全市广播电视工作。对各类广播电视机构进行业务指导和行业监管。负责广播电视节目传输、监测以及安全播出的监管工作。会同有关部门对全市网络视听节目服务机构进行监管。</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13）负责管理和指导全市电影和电视剧工作。指导、推进电影和电视剧事业、产业发展，推进影视产业体系和市场体系建设。指导监管电影摄制、发行、放映和电视剧制作等工作。根据权限组织对电影进行内容审查，指导协调全市重大电影活动。</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14）负责管理和指导全市文物、博物馆工作。负责指导协调文物的管理、保护、抢救、研究、勘探开发以及宣传等工作。研究处理文物保护重大问题，对查处盗窃、破坏、走私文物的大案要案提出文物方面的专业性意见，指导全市文物安全管理工作。会同有关部门管理社会流散文物、文物市场、文物出入境等工作。负责指导、协调博物馆收藏、研究、展示等工作。</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（15）负责管理和指导全市考古工作。根据权限审核管理考古勘探和发掘项目，管理相关项目建设经费。组织开展有关考古工作。</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lastRenderedPageBreak/>
        <w:t>（16）指导全市文化市场综合执法，负责文化、旅游、新闻出版、广播电视、电影、版权和文物等领域行政执法指导监督、大案要案督办、跨区域重大案件查处和组织协调等工作。组织指导</w:t>
      </w:r>
      <w:r w:rsidRPr="0030272C">
        <w:rPr>
          <w:rFonts w:ascii="仿宋_GB2312" w:eastAsia="仿宋_GB2312" w:hAnsi="Times New Roman" w:cs="Times New Roman"/>
          <w:sz w:val="32"/>
          <w:szCs w:val="28"/>
        </w:rPr>
        <w:t>“</w:t>
      </w:r>
      <w:r w:rsidRPr="0030272C">
        <w:rPr>
          <w:rFonts w:ascii="仿宋_GB2312" w:eastAsia="仿宋_GB2312" w:hAnsi="Times New Roman" w:cs="Times New Roman"/>
          <w:sz w:val="32"/>
          <w:szCs w:val="28"/>
        </w:rPr>
        <w:t>扫黄打非</w:t>
      </w:r>
      <w:r w:rsidRPr="0030272C">
        <w:rPr>
          <w:rFonts w:ascii="仿宋_GB2312" w:eastAsia="仿宋_GB2312" w:hAnsi="Times New Roman" w:cs="Times New Roman"/>
          <w:sz w:val="32"/>
          <w:szCs w:val="28"/>
        </w:rPr>
        <w:t>”</w:t>
      </w:r>
      <w:r w:rsidRPr="0030272C">
        <w:rPr>
          <w:rFonts w:ascii="仿宋_GB2312" w:eastAsia="仿宋_GB2312" w:hAnsi="Times New Roman" w:cs="Times New Roman"/>
          <w:sz w:val="32"/>
          <w:szCs w:val="28"/>
        </w:rPr>
        <w:t>工作。指导、协调全市文化、旅游、新闻出版、广播电视、电影、版权和文物等行业安全生产和应急管理工作。</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17）负责管理和指导全市文化、旅游、新闻出版、广播电视、电影、版权和文物等领域对外以及对港澳台交流合作、宣传推广工作，加强文化产业和旅游产业的国际市场推广，推动齐鲁文化走出去。承担文化、旅游领域优化营商环境相关工作。负责推动政府向社会力量购买服务。培育、引导、扶持文化、旅游行业协会发展，推进行业协会自律，发挥服务国家、服务社会、服务群众、服务行业的作用。</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（18）完成市委、市政府交办的其他任务。</w:t>
      </w:r>
    </w:p>
    <w:p w:rsidR="00506BA0" w:rsidRDefault="00506BA0" w:rsidP="00506BA0">
      <w:pPr>
        <w:tabs>
          <w:tab w:val="left" w:pos="3771"/>
        </w:tabs>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2.</w:t>
      </w:r>
      <w:r>
        <w:rPr>
          <w:rFonts w:ascii="Times New Roman" w:eastAsia="仿宋" w:hAnsi="Times New Roman" w:cs="Times New Roman"/>
          <w:b/>
          <w:bCs/>
          <w:sz w:val="32"/>
          <w:szCs w:val="32"/>
        </w:rPr>
        <w:t>部门架构</w:t>
      </w:r>
    </w:p>
    <w:p w:rsidR="00506BA0" w:rsidRPr="0030272C" w:rsidRDefault="00506BA0" w:rsidP="00506BA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市文化和旅游局设下列23个内设机构，包括办公室、政策调研处、人事处、财务处、产业发展处、市场配置促进和招商引资处、资源开发处、市场管理处（挂科技处牌子）、对外交流与合作处（挂台港澳办公室牌子）、市场推广处、公共服务处、安全应急处、法规与执法监督处、艺术处、新闻出版与版权管理处、印刷发行管理处、广播电视管理处（挂安全传输保障处牌子）、电影电视剧处、非物质文化遗产处、文物保护与考古处、博物馆与社会文物处、机关党委、离退休工作处</w:t>
      </w:r>
      <w:r w:rsidRPr="0030272C">
        <w:rPr>
          <w:rFonts w:ascii="仿宋_GB2312" w:eastAsia="仿宋_GB2312" w:hAnsi="Times New Roman" w:cs="Times New Roman" w:hint="eastAsia"/>
          <w:sz w:val="32"/>
          <w:szCs w:val="28"/>
        </w:rPr>
        <w:t>。</w:t>
      </w:r>
    </w:p>
    <w:p w:rsidR="00035F6C" w:rsidRPr="0030272C" w:rsidRDefault="00035F6C" w:rsidP="0030272C">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hint="eastAsia"/>
          <w:sz w:val="32"/>
          <w:szCs w:val="28"/>
        </w:rPr>
        <w:lastRenderedPageBreak/>
        <w:t>青岛市文化和旅游部门所属事业单位12个：青岛市文化市场综合执法局、市文化馆、市图书馆、市博物馆、青岛文化研究院、市美术馆、市文物保护考古研究所、市民俗博物馆（青岛天后宫）、青岛市文化和旅游公共服务中心、青岛市国际文化交流中心、青岛交响乐团、青岛德国总督楼旧址博物馆（青岛迎宾馆）。</w:t>
      </w:r>
    </w:p>
    <w:p w:rsidR="00323EE0" w:rsidRDefault="00323EE0" w:rsidP="00323EE0">
      <w:pPr>
        <w:tabs>
          <w:tab w:val="left" w:pos="3771"/>
        </w:tabs>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3.</w:t>
      </w:r>
      <w:r>
        <w:rPr>
          <w:rFonts w:ascii="Times New Roman" w:eastAsia="仿宋" w:hAnsi="Times New Roman" w:cs="Times New Roman"/>
          <w:b/>
          <w:bCs/>
          <w:sz w:val="32"/>
          <w:szCs w:val="32"/>
        </w:rPr>
        <w:t>部门职能目标</w:t>
      </w:r>
    </w:p>
    <w:p w:rsidR="00323EE0" w:rsidRPr="0030272C" w:rsidRDefault="00323EE0" w:rsidP="00323EE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按照党中央、国务院关于转变政府职能、深化放管服改革、深入推进审批服务便民化的决策部署，认真落实省委、省政府和市委、市政府深化</w:t>
      </w:r>
      <w:r w:rsidRPr="0030272C">
        <w:rPr>
          <w:rFonts w:ascii="仿宋_GB2312" w:eastAsia="仿宋_GB2312" w:hAnsi="Times New Roman" w:cs="Times New Roman"/>
          <w:sz w:val="32"/>
          <w:szCs w:val="28"/>
        </w:rPr>
        <w:t>“</w:t>
      </w:r>
      <w:r w:rsidRPr="0030272C">
        <w:rPr>
          <w:rFonts w:ascii="仿宋_GB2312" w:eastAsia="仿宋_GB2312" w:hAnsi="Times New Roman" w:cs="Times New Roman"/>
          <w:sz w:val="32"/>
          <w:szCs w:val="28"/>
        </w:rPr>
        <w:t>一次办好</w:t>
      </w:r>
      <w:r w:rsidRPr="0030272C">
        <w:rPr>
          <w:rFonts w:ascii="仿宋_GB2312" w:eastAsia="仿宋_GB2312" w:hAnsi="Times New Roman" w:cs="Times New Roman"/>
          <w:sz w:val="32"/>
          <w:szCs w:val="28"/>
        </w:rPr>
        <w:t>”</w:t>
      </w:r>
      <w:r w:rsidRPr="0030272C">
        <w:rPr>
          <w:rFonts w:ascii="仿宋_GB2312" w:eastAsia="仿宋_GB2312" w:hAnsi="Times New Roman" w:cs="Times New Roman"/>
          <w:sz w:val="32"/>
          <w:szCs w:val="28"/>
        </w:rPr>
        <w:t>和推进相对集中行政许可权改革要求，深入推进本系统转变政府职能，深化简政放权、创新文化和旅游融合发展，传承中华优秀传统文化，促进齐鲁文化交流与传播，提升旅游品牌形象和文化软实力，更好地满足人民群众日益增长的美好生活需要。加强政策引导和规划，整合各类文化和旅游资源，健全现代文化和旅游产业体系，促进文化、旅游、影视与相关产业融合发展，激发全社会文化创新活力。</w:t>
      </w:r>
    </w:p>
    <w:p w:rsidR="00EE0469" w:rsidRDefault="00EE0469" w:rsidP="00EE0469">
      <w:pPr>
        <w:pStyle w:val="3"/>
        <w:numPr>
          <w:ilvl w:val="0"/>
          <w:numId w:val="0"/>
        </w:numPr>
        <w:spacing w:line="520" w:lineRule="exact"/>
        <w:ind w:left="643"/>
        <w:rPr>
          <w:rFonts w:eastAsia="楷体_GB2312"/>
          <w:b w:val="0"/>
          <w:sz w:val="32"/>
          <w:lang w:val="en-US"/>
        </w:rPr>
      </w:pPr>
      <w:r>
        <w:rPr>
          <w:rFonts w:eastAsia="楷体_GB2312" w:hint="eastAsia"/>
          <w:sz w:val="32"/>
          <w:lang w:val="en-US"/>
        </w:rPr>
        <w:t>（</w:t>
      </w:r>
      <w:r>
        <w:rPr>
          <w:rFonts w:eastAsia="楷体_GB2312" w:hint="eastAsia"/>
          <w:b w:val="0"/>
          <w:sz w:val="32"/>
          <w:lang w:val="en-US"/>
        </w:rPr>
        <w:t>三）部门预算及支出情况</w:t>
      </w:r>
    </w:p>
    <w:p w:rsidR="00323EE0" w:rsidRPr="0030272C" w:rsidRDefault="00323EE0" w:rsidP="00323EE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根据青岛市财政局《关于批复20</w:t>
      </w:r>
      <w:r w:rsidRPr="0030272C">
        <w:rPr>
          <w:rFonts w:ascii="仿宋_GB2312" w:eastAsia="仿宋_GB2312" w:hAnsi="Times New Roman" w:cs="Times New Roman" w:hint="eastAsia"/>
          <w:sz w:val="32"/>
          <w:szCs w:val="28"/>
        </w:rPr>
        <w:t>20</w:t>
      </w:r>
      <w:r w:rsidRPr="0030272C">
        <w:rPr>
          <w:rFonts w:ascii="仿宋_GB2312" w:eastAsia="仿宋_GB2312" w:hAnsi="Times New Roman" w:cs="Times New Roman"/>
          <w:sz w:val="32"/>
          <w:szCs w:val="28"/>
        </w:rPr>
        <w:t>年市级部门预算的通知》（青财预指﹝20</w:t>
      </w:r>
      <w:r w:rsidRPr="0030272C">
        <w:rPr>
          <w:rFonts w:ascii="仿宋_GB2312" w:eastAsia="仿宋_GB2312" w:hAnsi="Times New Roman" w:cs="Times New Roman" w:hint="eastAsia"/>
          <w:sz w:val="32"/>
          <w:szCs w:val="28"/>
        </w:rPr>
        <w:t>20</w:t>
      </w:r>
      <w:r w:rsidRPr="0030272C">
        <w:rPr>
          <w:rFonts w:ascii="仿宋_GB2312" w:eastAsia="仿宋_GB2312" w:hAnsi="Times New Roman" w:cs="Times New Roman"/>
          <w:sz w:val="32"/>
          <w:szCs w:val="28"/>
        </w:rPr>
        <w:t>﹞2号）</w:t>
      </w:r>
      <w:r w:rsidRPr="0030272C">
        <w:rPr>
          <w:rFonts w:ascii="仿宋_GB2312" w:eastAsia="仿宋_GB2312" w:hAnsi="Times New Roman" w:cs="Times New Roman" w:hint="eastAsia"/>
          <w:sz w:val="32"/>
          <w:szCs w:val="28"/>
        </w:rPr>
        <w:t>年初</w:t>
      </w:r>
      <w:r w:rsidRPr="0030272C">
        <w:rPr>
          <w:rFonts w:ascii="仿宋_GB2312" w:eastAsia="仿宋_GB2312" w:hAnsi="Times New Roman" w:cs="Times New Roman"/>
          <w:sz w:val="32"/>
          <w:szCs w:val="28"/>
        </w:rPr>
        <w:t>预算总额为32034.78万元。</w:t>
      </w:r>
    </w:p>
    <w:p w:rsidR="00323EE0" w:rsidRPr="0030272C" w:rsidRDefault="00323EE0" w:rsidP="0030272C">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根据青岛市文化和旅游局</w:t>
      </w:r>
      <w:r w:rsidRPr="0030272C">
        <w:rPr>
          <w:rFonts w:ascii="仿宋_GB2312" w:eastAsia="仿宋_GB2312" w:hAnsi="Times New Roman" w:cs="Times New Roman" w:hint="eastAsia"/>
          <w:sz w:val="32"/>
          <w:szCs w:val="28"/>
        </w:rPr>
        <w:t>部门2020</w:t>
      </w:r>
      <w:r w:rsidRPr="0030272C">
        <w:rPr>
          <w:rFonts w:ascii="仿宋_GB2312" w:eastAsia="仿宋_GB2312" w:hAnsi="Times New Roman" w:cs="Times New Roman"/>
          <w:sz w:val="32"/>
          <w:szCs w:val="28"/>
        </w:rPr>
        <w:t>年决算数据，青岛市文化和旅游局</w:t>
      </w:r>
      <w:r w:rsidRPr="0030272C">
        <w:rPr>
          <w:rFonts w:ascii="仿宋_GB2312" w:eastAsia="仿宋_GB2312" w:hAnsi="Times New Roman" w:cs="Times New Roman" w:hint="eastAsia"/>
          <w:sz w:val="32"/>
          <w:szCs w:val="28"/>
        </w:rPr>
        <w:t>每年2020</w:t>
      </w:r>
      <w:r w:rsidRPr="0030272C">
        <w:rPr>
          <w:rFonts w:ascii="仿宋_GB2312" w:eastAsia="仿宋_GB2312" w:hAnsi="Times New Roman" w:cs="Times New Roman"/>
          <w:sz w:val="32"/>
          <w:szCs w:val="28"/>
        </w:rPr>
        <w:t>年度决算</w:t>
      </w:r>
      <w:r w:rsidRPr="0030272C">
        <w:rPr>
          <w:rFonts w:ascii="仿宋_GB2312" w:eastAsia="仿宋_GB2312" w:hAnsi="Times New Roman" w:cs="Times New Roman" w:hint="eastAsia"/>
          <w:sz w:val="32"/>
          <w:szCs w:val="28"/>
        </w:rPr>
        <w:t>收入总计</w:t>
      </w:r>
      <w:r w:rsidRPr="0030272C">
        <w:rPr>
          <w:rFonts w:ascii="仿宋_GB2312" w:eastAsia="仿宋_GB2312" w:hAnsi="Times New Roman" w:cs="Times New Roman"/>
          <w:sz w:val="32"/>
          <w:szCs w:val="28"/>
        </w:rPr>
        <w:t>为</w:t>
      </w:r>
      <w:r w:rsidRPr="0030272C">
        <w:rPr>
          <w:rFonts w:ascii="仿宋_GB2312" w:eastAsia="仿宋_GB2312" w:hAnsi="Times New Roman" w:cs="Times New Roman" w:hint="eastAsia"/>
          <w:sz w:val="32"/>
          <w:szCs w:val="28"/>
        </w:rPr>
        <w:t>42034.58</w:t>
      </w:r>
      <w:r w:rsidRPr="0030272C">
        <w:rPr>
          <w:rFonts w:ascii="仿宋_GB2312" w:eastAsia="仿宋_GB2312" w:hAnsi="Times New Roman" w:cs="Times New Roman"/>
          <w:sz w:val="32"/>
          <w:szCs w:val="28"/>
        </w:rPr>
        <w:t>万</w:t>
      </w:r>
      <w:r w:rsidRPr="0030272C">
        <w:rPr>
          <w:rFonts w:ascii="仿宋_GB2312" w:eastAsia="仿宋_GB2312" w:hAnsi="Times New Roman" w:cs="Times New Roman"/>
          <w:sz w:val="32"/>
          <w:szCs w:val="28"/>
        </w:rPr>
        <w:lastRenderedPageBreak/>
        <w:t>元，其中财政拨款收入为</w:t>
      </w:r>
      <w:r w:rsidRPr="0030272C">
        <w:rPr>
          <w:rFonts w:ascii="仿宋_GB2312" w:eastAsia="仿宋_GB2312" w:hAnsi="Times New Roman" w:cs="Times New Roman" w:hint="eastAsia"/>
          <w:sz w:val="32"/>
          <w:szCs w:val="28"/>
        </w:rPr>
        <w:t>399771.81</w:t>
      </w:r>
      <w:r w:rsidRPr="0030272C">
        <w:rPr>
          <w:rFonts w:ascii="仿宋_GB2312" w:eastAsia="仿宋_GB2312" w:hAnsi="Times New Roman" w:cs="Times New Roman"/>
          <w:sz w:val="32"/>
          <w:szCs w:val="28"/>
        </w:rPr>
        <w:t>万元，事业收入</w:t>
      </w:r>
      <w:r w:rsidRPr="0030272C">
        <w:rPr>
          <w:rFonts w:ascii="仿宋_GB2312" w:eastAsia="仿宋_GB2312" w:hAnsi="Times New Roman" w:cs="Times New Roman" w:hint="eastAsia"/>
          <w:sz w:val="32"/>
          <w:szCs w:val="28"/>
        </w:rPr>
        <w:t>232.02</w:t>
      </w:r>
      <w:r w:rsidRPr="0030272C">
        <w:rPr>
          <w:rFonts w:ascii="仿宋_GB2312" w:eastAsia="仿宋_GB2312" w:hAnsi="Times New Roman" w:cs="Times New Roman"/>
          <w:sz w:val="32"/>
          <w:szCs w:val="28"/>
        </w:rPr>
        <w:t>万元，其他收入为</w:t>
      </w:r>
      <w:r w:rsidRPr="0030272C">
        <w:rPr>
          <w:rFonts w:ascii="仿宋_GB2312" w:eastAsia="仿宋_GB2312" w:hAnsi="Times New Roman" w:cs="Times New Roman" w:hint="eastAsia"/>
          <w:sz w:val="32"/>
          <w:szCs w:val="28"/>
        </w:rPr>
        <w:t>516.38</w:t>
      </w:r>
      <w:r w:rsidRPr="0030272C">
        <w:rPr>
          <w:rFonts w:ascii="仿宋_GB2312" w:eastAsia="仿宋_GB2312" w:hAnsi="Times New Roman" w:cs="Times New Roman"/>
          <w:sz w:val="32"/>
          <w:szCs w:val="28"/>
        </w:rPr>
        <w:t>万元，用事业基金弥补差额</w:t>
      </w:r>
      <w:r w:rsidRPr="0030272C">
        <w:rPr>
          <w:rFonts w:ascii="仿宋_GB2312" w:eastAsia="仿宋_GB2312" w:hAnsi="Times New Roman" w:cs="Times New Roman" w:hint="eastAsia"/>
          <w:sz w:val="32"/>
          <w:szCs w:val="28"/>
        </w:rPr>
        <w:t>0.58</w:t>
      </w:r>
      <w:r w:rsidRPr="0030272C">
        <w:rPr>
          <w:rFonts w:ascii="仿宋_GB2312" w:eastAsia="仿宋_GB2312" w:hAnsi="Times New Roman" w:cs="Times New Roman"/>
          <w:sz w:val="32"/>
          <w:szCs w:val="28"/>
        </w:rPr>
        <w:t>万元，上年结转</w:t>
      </w:r>
      <w:r w:rsidRPr="0030272C">
        <w:rPr>
          <w:rFonts w:ascii="仿宋_GB2312" w:eastAsia="仿宋_GB2312" w:hAnsi="Times New Roman" w:cs="Times New Roman" w:hint="eastAsia"/>
          <w:sz w:val="32"/>
          <w:szCs w:val="28"/>
        </w:rPr>
        <w:t>1307.79</w:t>
      </w:r>
      <w:r w:rsidRPr="0030272C">
        <w:rPr>
          <w:rFonts w:ascii="仿宋_GB2312" w:eastAsia="仿宋_GB2312" w:hAnsi="Times New Roman" w:cs="Times New Roman"/>
          <w:sz w:val="32"/>
          <w:szCs w:val="28"/>
        </w:rPr>
        <w:t>万元。</w:t>
      </w:r>
    </w:p>
    <w:p w:rsidR="00EE0469" w:rsidRPr="0030272C" w:rsidRDefault="00EE0469" w:rsidP="0030272C">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hint="eastAsia"/>
          <w:sz w:val="32"/>
          <w:szCs w:val="28"/>
        </w:rPr>
        <w:t>（四）部门资产情况</w:t>
      </w:r>
    </w:p>
    <w:p w:rsidR="00323EE0" w:rsidRPr="0030272C" w:rsidRDefault="00323EE0" w:rsidP="00323EE0">
      <w:pPr>
        <w:tabs>
          <w:tab w:val="left" w:pos="3771"/>
        </w:tabs>
        <w:spacing w:line="580" w:lineRule="exact"/>
        <w:ind w:firstLineChars="200" w:firstLine="640"/>
        <w:rPr>
          <w:rFonts w:ascii="仿宋_GB2312" w:eastAsia="仿宋_GB2312" w:hAnsi="Times New Roman" w:cs="Times New Roman"/>
          <w:sz w:val="32"/>
          <w:szCs w:val="28"/>
        </w:rPr>
      </w:pPr>
      <w:r w:rsidRPr="0030272C">
        <w:rPr>
          <w:rFonts w:ascii="仿宋_GB2312" w:eastAsia="仿宋_GB2312" w:hAnsi="Times New Roman" w:cs="Times New Roman"/>
          <w:sz w:val="32"/>
          <w:szCs w:val="28"/>
        </w:rPr>
        <w:t>截至20</w:t>
      </w:r>
      <w:r w:rsidRPr="0030272C">
        <w:rPr>
          <w:rFonts w:ascii="仿宋_GB2312" w:eastAsia="仿宋_GB2312" w:hAnsi="Times New Roman" w:cs="Times New Roman" w:hint="eastAsia"/>
          <w:sz w:val="32"/>
          <w:szCs w:val="28"/>
        </w:rPr>
        <w:t>20</w:t>
      </w:r>
      <w:r w:rsidRPr="0030272C">
        <w:rPr>
          <w:rFonts w:ascii="仿宋_GB2312" w:eastAsia="仿宋_GB2312" w:hAnsi="Times New Roman" w:cs="Times New Roman"/>
          <w:sz w:val="32"/>
          <w:szCs w:val="28"/>
        </w:rPr>
        <w:t>年12月31日，青岛市文化和旅游局</w:t>
      </w:r>
      <w:r w:rsidRPr="0030272C">
        <w:rPr>
          <w:rFonts w:ascii="仿宋_GB2312" w:eastAsia="仿宋_GB2312" w:hAnsi="Times New Roman" w:cs="Times New Roman" w:hint="eastAsia"/>
          <w:sz w:val="32"/>
          <w:szCs w:val="28"/>
        </w:rPr>
        <w:t>部门</w:t>
      </w:r>
      <w:r w:rsidRPr="0030272C">
        <w:rPr>
          <w:rFonts w:ascii="仿宋_GB2312" w:eastAsia="仿宋_GB2312" w:hAnsi="Times New Roman" w:cs="Times New Roman"/>
          <w:sz w:val="32"/>
          <w:szCs w:val="28"/>
        </w:rPr>
        <w:t>拥</w:t>
      </w:r>
      <w:r w:rsidRPr="0030272C">
        <w:rPr>
          <w:rFonts w:ascii="仿宋_GB2312" w:eastAsia="仿宋_GB2312" w:hAnsi="Times New Roman" w:cs="Times New Roman" w:hint="eastAsia"/>
          <w:sz w:val="32"/>
          <w:szCs w:val="28"/>
        </w:rPr>
        <w:t>机要通讯用车</w:t>
      </w:r>
      <w:r w:rsidRPr="0030272C">
        <w:rPr>
          <w:rFonts w:ascii="仿宋_GB2312" w:eastAsia="仿宋_GB2312" w:hAnsi="Times New Roman" w:cs="Times New Roman"/>
          <w:sz w:val="32"/>
          <w:szCs w:val="28"/>
        </w:rPr>
        <w:t>2辆、</w:t>
      </w:r>
      <w:r w:rsidRPr="0030272C">
        <w:rPr>
          <w:rFonts w:ascii="仿宋_GB2312" w:eastAsia="仿宋_GB2312" w:hAnsi="Times New Roman" w:cs="Times New Roman" w:hint="eastAsia"/>
          <w:sz w:val="32"/>
          <w:szCs w:val="28"/>
        </w:rPr>
        <w:t>应急保障用车2</w:t>
      </w:r>
      <w:r w:rsidRPr="0030272C">
        <w:rPr>
          <w:rFonts w:ascii="仿宋_GB2312" w:eastAsia="仿宋_GB2312" w:hAnsi="Times New Roman" w:cs="Times New Roman"/>
          <w:sz w:val="32"/>
          <w:szCs w:val="28"/>
        </w:rPr>
        <w:t>辆、专用设备12台、</w:t>
      </w:r>
      <w:r w:rsidRPr="0030272C">
        <w:rPr>
          <w:rFonts w:ascii="仿宋_GB2312" w:eastAsia="仿宋_GB2312" w:hAnsi="Times New Roman" w:cs="Times New Roman" w:hint="eastAsia"/>
          <w:sz w:val="32"/>
          <w:szCs w:val="28"/>
        </w:rPr>
        <w:t>执法执勤用车5辆</w:t>
      </w:r>
      <w:r w:rsidRPr="0030272C">
        <w:rPr>
          <w:rFonts w:ascii="仿宋_GB2312" w:eastAsia="仿宋_GB2312" w:hAnsi="Times New Roman" w:cs="Times New Roman"/>
          <w:sz w:val="32"/>
          <w:szCs w:val="28"/>
        </w:rPr>
        <w:t>、</w:t>
      </w:r>
      <w:r w:rsidRPr="0030272C">
        <w:rPr>
          <w:rFonts w:ascii="仿宋_GB2312" w:eastAsia="仿宋_GB2312" w:hAnsi="Times New Roman" w:cs="Times New Roman" w:hint="eastAsia"/>
          <w:sz w:val="32"/>
          <w:szCs w:val="28"/>
        </w:rPr>
        <w:t>离退休干部用车2辆、其他用车16辆。单价50万元以上通用设备16台（套）</w:t>
      </w:r>
      <w:r w:rsidR="00BC70A3" w:rsidRPr="0030272C">
        <w:rPr>
          <w:rFonts w:ascii="仿宋_GB2312" w:eastAsia="仿宋_GB2312" w:hAnsi="Times New Roman" w:cs="Times New Roman" w:hint="eastAsia"/>
          <w:sz w:val="32"/>
          <w:szCs w:val="28"/>
        </w:rPr>
        <w:t>、单价100万元以上设备5台（套）</w:t>
      </w:r>
      <w:r w:rsidRPr="0030272C">
        <w:rPr>
          <w:rFonts w:ascii="仿宋_GB2312" w:eastAsia="仿宋_GB2312" w:hAnsi="Times New Roman" w:cs="Times New Roman"/>
          <w:sz w:val="32"/>
          <w:szCs w:val="28"/>
        </w:rPr>
        <w:t>。</w:t>
      </w:r>
    </w:p>
    <w:p w:rsidR="007C700F" w:rsidRPr="0030272C" w:rsidRDefault="00EE0469" w:rsidP="0030272C">
      <w:pPr>
        <w:tabs>
          <w:tab w:val="left" w:pos="3771"/>
        </w:tabs>
        <w:spacing w:line="580" w:lineRule="exact"/>
        <w:ind w:firstLineChars="200" w:firstLine="640"/>
        <w:rPr>
          <w:rFonts w:ascii="楷体_GB2312" w:eastAsia="楷体_GB2312" w:hAnsi="Times New Roman" w:cs="Times New Roman"/>
          <w:sz w:val="32"/>
          <w:szCs w:val="28"/>
        </w:rPr>
      </w:pPr>
      <w:r w:rsidRPr="0030272C">
        <w:rPr>
          <w:rFonts w:ascii="楷体_GB2312" w:eastAsia="楷体_GB2312" w:hAnsi="Times New Roman" w:cs="Times New Roman" w:hint="eastAsia"/>
          <w:sz w:val="32"/>
          <w:szCs w:val="28"/>
        </w:rPr>
        <w:t>（五）部门绩效目标</w:t>
      </w:r>
    </w:p>
    <w:p w:rsidR="007C700F" w:rsidRDefault="007C700F" w:rsidP="007C700F">
      <w:pPr>
        <w:tabs>
          <w:tab w:val="left" w:pos="3771"/>
        </w:tabs>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1.</w:t>
      </w:r>
      <w:r>
        <w:rPr>
          <w:rFonts w:ascii="Times New Roman" w:eastAsia="仿宋" w:hAnsi="Times New Roman" w:cs="Times New Roman"/>
          <w:b/>
          <w:bCs/>
          <w:sz w:val="32"/>
          <w:szCs w:val="32"/>
        </w:rPr>
        <w:t>部门整体总目标</w:t>
      </w:r>
    </w:p>
    <w:p w:rsidR="007C700F" w:rsidRPr="007C700F" w:rsidRDefault="007C700F" w:rsidP="007C700F">
      <w:pPr>
        <w:spacing w:line="560" w:lineRule="exact"/>
        <w:ind w:firstLine="720"/>
        <w:rPr>
          <w:rFonts w:ascii="仿宋_GB2312" w:eastAsia="仿宋_GB2312" w:hAnsi="仿宋_GB2312" w:cs="仿宋_GB2312"/>
          <w:sz w:val="32"/>
          <w:szCs w:val="32"/>
        </w:rPr>
      </w:pPr>
      <w:r w:rsidRPr="00475889">
        <w:rPr>
          <w:rFonts w:ascii="仿宋_GB2312" w:eastAsia="仿宋_GB2312" w:hint="eastAsia"/>
          <w:sz w:val="32"/>
          <w:szCs w:val="32"/>
        </w:rPr>
        <w:t>紧紧围绕广大市民对美好生活的向往，推动</w:t>
      </w:r>
      <w:r w:rsidRPr="007C700F">
        <w:rPr>
          <w:rFonts w:ascii="仿宋_GB2312" w:eastAsia="仿宋_GB2312" w:hint="eastAsia"/>
          <w:sz w:val="32"/>
          <w:szCs w:val="32"/>
        </w:rPr>
        <w:t>基层</w:t>
      </w:r>
      <w:r w:rsidRPr="00475889">
        <w:rPr>
          <w:rFonts w:ascii="仿宋_GB2312" w:eastAsia="仿宋_GB2312" w:hint="eastAsia"/>
          <w:sz w:val="32"/>
          <w:szCs w:val="32"/>
        </w:rPr>
        <w:t>公共文化服务</w:t>
      </w:r>
      <w:r w:rsidRPr="007C700F">
        <w:rPr>
          <w:rFonts w:ascii="仿宋_GB2312" w:eastAsia="仿宋_GB2312" w:hint="eastAsia"/>
          <w:sz w:val="32"/>
          <w:szCs w:val="32"/>
        </w:rPr>
        <w:t>基础设施建设；坚持政策推动、项目带动、消费拉动，助推文旅产业提质升级</w:t>
      </w:r>
      <w:r>
        <w:rPr>
          <w:rFonts w:ascii="仿宋_GB2312" w:eastAsia="仿宋_GB2312" w:hint="eastAsia"/>
          <w:sz w:val="32"/>
          <w:szCs w:val="32"/>
        </w:rPr>
        <w:t>；</w:t>
      </w:r>
      <w:r w:rsidRPr="00475889">
        <w:rPr>
          <w:rFonts w:ascii="仿宋_GB2312" w:eastAsia="仿宋_GB2312" w:hAnsi="仿宋_GB2312" w:cs="仿宋_GB2312" w:hint="eastAsia"/>
          <w:sz w:val="32"/>
          <w:szCs w:val="32"/>
        </w:rPr>
        <w:t>区域协作、景区免票、节会活动多措并举，提升城市综合影响力</w:t>
      </w:r>
      <w:r>
        <w:rPr>
          <w:rFonts w:ascii="仿宋_GB2312" w:eastAsia="仿宋_GB2312" w:hAnsi="仿宋_GB2312" w:cs="仿宋_GB2312" w:hint="eastAsia"/>
          <w:sz w:val="32"/>
          <w:szCs w:val="32"/>
        </w:rPr>
        <w:t>；</w:t>
      </w:r>
      <w:r w:rsidRPr="007102D3">
        <w:rPr>
          <w:rFonts w:ascii="仿宋_GB2312" w:eastAsia="仿宋_GB2312" w:hint="eastAsia"/>
          <w:sz w:val="32"/>
          <w:szCs w:val="32"/>
        </w:rPr>
        <w:t>加大文化遗产保护力度，传承</w:t>
      </w:r>
      <w:r>
        <w:rPr>
          <w:rFonts w:ascii="仿宋_GB2312" w:eastAsia="仿宋_GB2312" w:hint="eastAsia"/>
          <w:sz w:val="32"/>
          <w:szCs w:val="32"/>
        </w:rPr>
        <w:t>历史</w:t>
      </w:r>
      <w:r w:rsidRPr="007102D3">
        <w:rPr>
          <w:rFonts w:ascii="仿宋_GB2312" w:eastAsia="仿宋_GB2312" w:hint="eastAsia"/>
          <w:sz w:val="32"/>
          <w:szCs w:val="32"/>
        </w:rPr>
        <w:t>文脉</w:t>
      </w:r>
      <w:r>
        <w:rPr>
          <w:rFonts w:ascii="仿宋_GB2312" w:eastAsia="仿宋_GB2312" w:hint="eastAsia"/>
          <w:sz w:val="32"/>
          <w:szCs w:val="32"/>
        </w:rPr>
        <w:t>；</w:t>
      </w:r>
      <w:r>
        <w:rPr>
          <w:rFonts w:ascii="仿宋_GB2312" w:eastAsia="仿宋_GB2312" w:hAnsi="E-BZ" w:hint="eastAsia"/>
          <w:color w:val="000000"/>
          <w:sz w:val="32"/>
          <w:szCs w:val="32"/>
        </w:rPr>
        <w:t>加大文旅市场管理力度；</w:t>
      </w:r>
      <w:r w:rsidRPr="007C700F">
        <w:rPr>
          <w:rFonts w:ascii="仿宋_GB2312" w:eastAsia="仿宋_GB2312" w:hAnsi="仿宋_GB2312" w:cs="仿宋_GB2312" w:hint="eastAsia"/>
          <w:sz w:val="32"/>
          <w:szCs w:val="32"/>
        </w:rPr>
        <w:t>统筹疫情防控和经济社会发展，多措并举推动全市文化旅游业复苏振兴。</w:t>
      </w:r>
    </w:p>
    <w:p w:rsidR="007C700F" w:rsidRDefault="007C700F" w:rsidP="007C700F">
      <w:pPr>
        <w:tabs>
          <w:tab w:val="left" w:pos="3771"/>
        </w:tabs>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2.20</w:t>
      </w:r>
      <w:r>
        <w:rPr>
          <w:rFonts w:ascii="Times New Roman" w:eastAsia="仿宋" w:hAnsi="Times New Roman" w:cs="Times New Roman" w:hint="eastAsia"/>
          <w:b/>
          <w:bCs/>
          <w:sz w:val="32"/>
          <w:szCs w:val="32"/>
        </w:rPr>
        <w:t>20</w:t>
      </w:r>
      <w:r>
        <w:rPr>
          <w:rFonts w:ascii="Times New Roman" w:eastAsia="仿宋" w:hAnsi="Times New Roman" w:cs="Times New Roman"/>
          <w:b/>
          <w:bCs/>
          <w:sz w:val="32"/>
          <w:szCs w:val="32"/>
        </w:rPr>
        <w:t>年度绩效目标</w:t>
      </w:r>
    </w:p>
    <w:p w:rsidR="007C700F" w:rsidRPr="0030272C" w:rsidRDefault="007C700F" w:rsidP="0030272C">
      <w:pPr>
        <w:spacing w:line="560" w:lineRule="exact"/>
        <w:ind w:firstLine="720"/>
        <w:rPr>
          <w:rFonts w:ascii="仿宋_GB2312" w:eastAsia="仿宋_GB2312"/>
          <w:sz w:val="32"/>
          <w:szCs w:val="32"/>
        </w:rPr>
      </w:pPr>
      <w:r w:rsidRPr="0030272C">
        <w:rPr>
          <w:rFonts w:ascii="仿宋_GB2312" w:eastAsia="仿宋_GB2312" w:hint="eastAsia"/>
          <w:sz w:val="32"/>
          <w:szCs w:val="32"/>
        </w:rPr>
        <w:t>市</w:t>
      </w:r>
      <w:r w:rsidRPr="0030272C">
        <w:rPr>
          <w:rFonts w:ascii="仿宋_GB2312" w:eastAsia="仿宋_GB2312"/>
          <w:sz w:val="32"/>
          <w:szCs w:val="32"/>
        </w:rPr>
        <w:t>文化和旅游局2</w:t>
      </w:r>
      <w:r w:rsidRPr="0030272C">
        <w:rPr>
          <w:rFonts w:ascii="仿宋_GB2312" w:eastAsia="仿宋_GB2312" w:hint="eastAsia"/>
          <w:sz w:val="32"/>
          <w:szCs w:val="32"/>
        </w:rPr>
        <w:t>020</w:t>
      </w:r>
      <w:r w:rsidRPr="0030272C">
        <w:rPr>
          <w:rFonts w:ascii="仿宋_GB2312" w:eastAsia="仿宋_GB2312"/>
          <w:sz w:val="32"/>
          <w:szCs w:val="32"/>
        </w:rPr>
        <w:t>年工作主要围绕《20</w:t>
      </w:r>
      <w:r w:rsidRPr="0030272C">
        <w:rPr>
          <w:rFonts w:ascii="仿宋_GB2312" w:eastAsia="仿宋_GB2312" w:hint="eastAsia"/>
          <w:sz w:val="32"/>
          <w:szCs w:val="32"/>
        </w:rPr>
        <w:t>20</w:t>
      </w:r>
      <w:r w:rsidRPr="0030272C">
        <w:rPr>
          <w:rFonts w:ascii="仿宋_GB2312" w:eastAsia="仿宋_GB2312"/>
          <w:sz w:val="32"/>
          <w:szCs w:val="32"/>
        </w:rPr>
        <w:t>年度市综合考核业务目标》、</w:t>
      </w:r>
      <w:r w:rsidRPr="0030272C">
        <w:rPr>
          <w:rFonts w:ascii="仿宋_GB2312" w:eastAsia="仿宋_GB2312" w:hint="eastAsia"/>
          <w:sz w:val="32"/>
          <w:szCs w:val="32"/>
        </w:rPr>
        <w:t>“</w:t>
      </w:r>
      <w:r w:rsidRPr="0030272C">
        <w:rPr>
          <w:rFonts w:ascii="仿宋_GB2312" w:eastAsia="仿宋_GB2312"/>
          <w:sz w:val="32"/>
          <w:szCs w:val="32"/>
        </w:rPr>
        <w:t>十五攻势</w:t>
      </w:r>
      <w:r w:rsidRPr="0030272C">
        <w:rPr>
          <w:rFonts w:ascii="仿宋_GB2312" w:eastAsia="仿宋_GB2312" w:hint="eastAsia"/>
          <w:sz w:val="32"/>
          <w:szCs w:val="32"/>
        </w:rPr>
        <w:t>”</w:t>
      </w:r>
      <w:r w:rsidRPr="0030272C">
        <w:rPr>
          <w:rFonts w:ascii="仿宋_GB2312" w:eastAsia="仿宋_GB2312"/>
          <w:sz w:val="32"/>
          <w:szCs w:val="32"/>
        </w:rPr>
        <w:t>和专项资金项目开展工作。项目组根据市文化和旅游局20</w:t>
      </w:r>
      <w:r w:rsidRPr="0030272C">
        <w:rPr>
          <w:rFonts w:ascii="仿宋_GB2312" w:eastAsia="仿宋_GB2312" w:hint="eastAsia"/>
          <w:sz w:val="32"/>
          <w:szCs w:val="32"/>
        </w:rPr>
        <w:t>20</w:t>
      </w:r>
      <w:r w:rsidRPr="0030272C">
        <w:rPr>
          <w:rFonts w:ascii="仿宋_GB2312" w:eastAsia="仿宋_GB2312"/>
          <w:sz w:val="32"/>
          <w:szCs w:val="32"/>
        </w:rPr>
        <w:t>年工作计划整理归纳，20</w:t>
      </w:r>
      <w:r w:rsidRPr="0030272C">
        <w:rPr>
          <w:rFonts w:ascii="仿宋_GB2312" w:eastAsia="仿宋_GB2312" w:hint="eastAsia"/>
          <w:sz w:val="32"/>
          <w:szCs w:val="32"/>
        </w:rPr>
        <w:t>20</w:t>
      </w:r>
      <w:r w:rsidRPr="0030272C">
        <w:rPr>
          <w:rFonts w:ascii="仿宋_GB2312" w:eastAsia="仿宋_GB2312"/>
          <w:sz w:val="32"/>
          <w:szCs w:val="32"/>
        </w:rPr>
        <w:t>年度市文化和旅游局年度目标分解如下：</w:t>
      </w:r>
    </w:p>
    <w:tbl>
      <w:tblPr>
        <w:tblW w:w="9296" w:type="dxa"/>
        <w:jc w:val="center"/>
        <w:tblInd w:w="73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49"/>
        <w:gridCol w:w="851"/>
        <w:gridCol w:w="1559"/>
        <w:gridCol w:w="6237"/>
      </w:tblGrid>
      <w:tr w:rsidR="00E25D5A" w:rsidRPr="008A2282" w:rsidTr="00E25D5A">
        <w:trPr>
          <w:tblHeader/>
          <w:jc w:val="center"/>
        </w:trPr>
        <w:tc>
          <w:tcPr>
            <w:tcW w:w="649" w:type="dxa"/>
            <w:vAlign w:val="center"/>
          </w:tcPr>
          <w:p w:rsidR="00E25D5A" w:rsidRPr="008A2282" w:rsidRDefault="00E25D5A" w:rsidP="00A41C90">
            <w:pPr>
              <w:adjustRightInd w:val="0"/>
              <w:snapToGrid w:val="0"/>
              <w:jc w:val="center"/>
              <w:rPr>
                <w:rFonts w:eastAsia="黑体"/>
                <w:color w:val="000000" w:themeColor="text1"/>
                <w:sz w:val="28"/>
                <w:szCs w:val="28"/>
              </w:rPr>
            </w:pPr>
            <w:r w:rsidRPr="008A2282">
              <w:rPr>
                <w:rFonts w:eastAsia="黑体" w:hint="eastAsia"/>
                <w:color w:val="000000" w:themeColor="text1"/>
                <w:sz w:val="28"/>
                <w:szCs w:val="28"/>
              </w:rPr>
              <w:t>类</w:t>
            </w:r>
          </w:p>
          <w:p w:rsidR="00E25D5A" w:rsidRPr="008A2282" w:rsidRDefault="00E25D5A" w:rsidP="00A41C90">
            <w:pPr>
              <w:adjustRightInd w:val="0"/>
              <w:snapToGrid w:val="0"/>
              <w:jc w:val="center"/>
              <w:rPr>
                <w:rFonts w:eastAsia="黑体"/>
                <w:color w:val="000000" w:themeColor="text1"/>
                <w:sz w:val="28"/>
                <w:szCs w:val="28"/>
              </w:rPr>
            </w:pPr>
            <w:r w:rsidRPr="008A2282">
              <w:rPr>
                <w:rFonts w:eastAsia="黑体" w:hint="eastAsia"/>
                <w:color w:val="000000" w:themeColor="text1"/>
                <w:sz w:val="28"/>
                <w:szCs w:val="28"/>
              </w:rPr>
              <w:t>别</w:t>
            </w:r>
          </w:p>
        </w:tc>
        <w:tc>
          <w:tcPr>
            <w:tcW w:w="851" w:type="dxa"/>
            <w:vAlign w:val="center"/>
          </w:tcPr>
          <w:p w:rsidR="00E25D5A" w:rsidRPr="008A2282" w:rsidRDefault="00E25D5A" w:rsidP="00A41C90">
            <w:pPr>
              <w:adjustRightInd w:val="0"/>
              <w:snapToGrid w:val="0"/>
              <w:jc w:val="center"/>
              <w:rPr>
                <w:rFonts w:eastAsia="黑体"/>
                <w:color w:val="000000" w:themeColor="text1"/>
                <w:sz w:val="28"/>
                <w:szCs w:val="28"/>
              </w:rPr>
            </w:pPr>
            <w:r w:rsidRPr="008A2282">
              <w:rPr>
                <w:rFonts w:eastAsia="黑体" w:hint="eastAsia"/>
                <w:color w:val="000000" w:themeColor="text1"/>
                <w:sz w:val="28"/>
                <w:szCs w:val="28"/>
              </w:rPr>
              <w:t>序</w:t>
            </w:r>
          </w:p>
          <w:p w:rsidR="00E25D5A" w:rsidRPr="008A2282" w:rsidRDefault="00E25D5A" w:rsidP="00A41C90">
            <w:pPr>
              <w:adjustRightInd w:val="0"/>
              <w:snapToGrid w:val="0"/>
              <w:jc w:val="center"/>
              <w:rPr>
                <w:rFonts w:eastAsia="黑体"/>
                <w:color w:val="000000" w:themeColor="text1"/>
                <w:sz w:val="28"/>
                <w:szCs w:val="28"/>
              </w:rPr>
            </w:pPr>
            <w:r w:rsidRPr="008A2282">
              <w:rPr>
                <w:rFonts w:eastAsia="黑体"/>
                <w:color w:val="000000" w:themeColor="text1"/>
                <w:sz w:val="28"/>
                <w:szCs w:val="28"/>
              </w:rPr>
              <w:t>号</w:t>
            </w:r>
          </w:p>
        </w:tc>
        <w:tc>
          <w:tcPr>
            <w:tcW w:w="1559" w:type="dxa"/>
            <w:vAlign w:val="center"/>
          </w:tcPr>
          <w:p w:rsidR="00E25D5A" w:rsidRPr="008A2282" w:rsidRDefault="00E25D5A" w:rsidP="00A41C90">
            <w:pPr>
              <w:adjustRightInd w:val="0"/>
              <w:snapToGrid w:val="0"/>
              <w:jc w:val="center"/>
              <w:rPr>
                <w:rFonts w:eastAsia="黑体"/>
                <w:color w:val="000000" w:themeColor="text1"/>
                <w:sz w:val="28"/>
                <w:szCs w:val="28"/>
              </w:rPr>
            </w:pPr>
            <w:r w:rsidRPr="008A2282">
              <w:rPr>
                <w:rFonts w:eastAsia="黑体" w:hint="eastAsia"/>
                <w:color w:val="000000" w:themeColor="text1"/>
                <w:sz w:val="28"/>
                <w:szCs w:val="28"/>
              </w:rPr>
              <w:t>目标名称</w:t>
            </w:r>
          </w:p>
        </w:tc>
        <w:tc>
          <w:tcPr>
            <w:tcW w:w="6237" w:type="dxa"/>
            <w:vAlign w:val="center"/>
          </w:tcPr>
          <w:p w:rsidR="00E25D5A" w:rsidRPr="008A2282" w:rsidRDefault="00E25D5A" w:rsidP="00A41C90">
            <w:pPr>
              <w:tabs>
                <w:tab w:val="left" w:pos="9526"/>
              </w:tabs>
              <w:adjustRightInd w:val="0"/>
              <w:snapToGrid w:val="0"/>
              <w:spacing w:line="300" w:lineRule="exact"/>
              <w:rPr>
                <w:rFonts w:eastAsia="黑体"/>
                <w:color w:val="000000" w:themeColor="text1"/>
                <w:sz w:val="28"/>
                <w:szCs w:val="28"/>
              </w:rPr>
            </w:pPr>
            <w:r w:rsidRPr="008A2282">
              <w:rPr>
                <w:rFonts w:eastAsia="黑体" w:hint="eastAsia"/>
                <w:color w:val="000000" w:themeColor="text1"/>
                <w:sz w:val="28"/>
                <w:szCs w:val="28"/>
              </w:rPr>
              <w:t>完成情况及取得实效</w:t>
            </w:r>
          </w:p>
        </w:tc>
      </w:tr>
      <w:tr w:rsidR="00E25D5A" w:rsidRPr="008A2282" w:rsidTr="00E25D5A">
        <w:trPr>
          <w:jc w:val="center"/>
        </w:trPr>
        <w:tc>
          <w:tcPr>
            <w:tcW w:w="649" w:type="dxa"/>
            <w:vMerge w:val="restart"/>
            <w:vAlign w:val="center"/>
          </w:tcPr>
          <w:p w:rsidR="00E25D5A" w:rsidRPr="008A2282" w:rsidRDefault="00E25D5A" w:rsidP="00A41C90">
            <w:pPr>
              <w:spacing w:line="260" w:lineRule="exact"/>
              <w:jc w:val="center"/>
              <w:rPr>
                <w:rFonts w:ascii="楷体_GB2312" w:eastAsia="楷体_GB2312" w:hAnsi="宋体"/>
                <w:color w:val="000000" w:themeColor="text1"/>
                <w:kern w:val="0"/>
                <w:sz w:val="24"/>
              </w:rPr>
            </w:pPr>
            <w:r w:rsidRPr="008A2282">
              <w:rPr>
                <w:rFonts w:ascii="楷体_GB2312" w:eastAsia="楷体_GB2312" w:hAnsi="宋体" w:hint="eastAsia"/>
                <w:color w:val="000000" w:themeColor="text1"/>
                <w:kern w:val="0"/>
                <w:sz w:val="24"/>
              </w:rPr>
              <w:t>重</w:t>
            </w:r>
            <w:r w:rsidRPr="008A2282">
              <w:rPr>
                <w:rFonts w:ascii="楷体_GB2312" w:eastAsia="楷体_GB2312" w:hAnsi="宋体" w:hint="eastAsia"/>
                <w:color w:val="000000" w:themeColor="text1"/>
                <w:kern w:val="0"/>
                <w:sz w:val="24"/>
              </w:rPr>
              <w:lastRenderedPageBreak/>
              <w:t>点</w:t>
            </w:r>
          </w:p>
          <w:p w:rsidR="00E25D5A" w:rsidRPr="008A2282" w:rsidRDefault="00E25D5A" w:rsidP="00A41C90">
            <w:pPr>
              <w:spacing w:line="260" w:lineRule="exact"/>
              <w:jc w:val="center"/>
              <w:rPr>
                <w:rFonts w:ascii="楷体_GB2312" w:eastAsia="楷体_GB2312" w:hAnsi="宋体"/>
                <w:color w:val="000000" w:themeColor="text1"/>
                <w:sz w:val="24"/>
              </w:rPr>
            </w:pPr>
            <w:r w:rsidRPr="008A2282">
              <w:rPr>
                <w:rFonts w:ascii="楷体_GB2312" w:eastAsia="楷体_GB2312" w:hAnsi="宋体" w:hint="eastAsia"/>
                <w:color w:val="000000" w:themeColor="text1"/>
                <w:kern w:val="0"/>
                <w:sz w:val="24"/>
              </w:rPr>
              <w:t>目标</w:t>
            </w: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lastRenderedPageBreak/>
              <w:t>1</w:t>
            </w:r>
          </w:p>
        </w:tc>
        <w:tc>
          <w:tcPr>
            <w:tcW w:w="1559" w:type="dxa"/>
            <w:vAlign w:val="center"/>
          </w:tcPr>
          <w:p w:rsidR="00E25D5A" w:rsidRPr="00E25D5A" w:rsidRDefault="00E25D5A" w:rsidP="00A41C90">
            <w:pPr>
              <w:spacing w:line="320" w:lineRule="exac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积极应对新冠肺</w:t>
            </w:r>
            <w:r w:rsidRPr="00E25D5A">
              <w:rPr>
                <w:rFonts w:ascii="仿宋_GB2312" w:eastAsia="仿宋_GB2312" w:hAnsi="仿宋_GB2312" w:cs="仿宋_GB2312" w:hint="eastAsia"/>
                <w:color w:val="000000" w:themeColor="text1"/>
                <w:sz w:val="18"/>
                <w:szCs w:val="18"/>
              </w:rPr>
              <w:lastRenderedPageBreak/>
              <w:t>炎疫情影响，推动文化旅游业蓄势振兴转型发展</w:t>
            </w:r>
          </w:p>
        </w:tc>
        <w:tc>
          <w:tcPr>
            <w:tcW w:w="6237" w:type="dxa"/>
            <w:vAlign w:val="center"/>
          </w:tcPr>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lastRenderedPageBreak/>
              <w:t>目标内容：</w:t>
            </w:r>
            <w:r w:rsidRPr="00E25D5A">
              <w:rPr>
                <w:rFonts w:ascii="仿宋_GB2312" w:eastAsia="仿宋_GB2312" w:hAnsi="仿宋_GB2312" w:cs="仿宋_GB2312" w:hint="eastAsia"/>
                <w:color w:val="000000" w:themeColor="text1"/>
                <w:sz w:val="18"/>
                <w:szCs w:val="18"/>
              </w:rPr>
              <w:t>①建立全市文旅系统疫情防控组织领导机制。制定疫情防控</w:t>
            </w:r>
            <w:r w:rsidRPr="00E25D5A">
              <w:rPr>
                <w:rFonts w:ascii="仿宋_GB2312" w:eastAsia="仿宋_GB2312" w:hAnsi="仿宋_GB2312" w:cs="仿宋_GB2312" w:hint="eastAsia"/>
                <w:color w:val="000000" w:themeColor="text1"/>
                <w:sz w:val="18"/>
                <w:szCs w:val="18"/>
              </w:rPr>
              <w:lastRenderedPageBreak/>
              <w:t>工作指南，指导企业有序复产复工，组建10个区市工作专班督导相关部门和企业落实防控措施；完善常态化防控举措，推进落实旅游景区分时预约制，严防旅游景区和文化场馆人员聚集；②加大政策扶持力度。梳理国家、省、市有关政策文件，形成“政策包”下发企业，做好旅行社质量保证金退还工作，推动市政府出台《关于应对新冠肺炎疫情影响支持文化和旅游业发展若干政策措施》，扶持文旅企业用好政策、渡过难关，做好政策解读和舆情处置工作；③加大资金投入。调整使用财政资金，组织开展“文化旅游振兴营销工程”，为城市宣传推介蓄势；④推动行业企业转型升级。开展“云课堂”“云展览”“云剧场”“云书场”等活动不少于100场；推出“网游青博”虚拟展厅；举办网络读书朗诵大赛文化活动；开展“丈量青岛”网上直播活动不少于3次；组织文旅企业发售线上产品、服务，组织旅游景区开展门票预售，实现线上线下协同发展。限上住宿业营业额、旅行社及相关服务营业收入、文化和娱乐业营业收入、文化和娱乐业从业人员工资总额完成市委、市政府确定的年度增长目标。</w:t>
            </w:r>
          </w:p>
          <w:p w:rsidR="00E25D5A" w:rsidRPr="00E25D5A" w:rsidRDefault="00E25D5A" w:rsidP="00A41C90">
            <w:pPr>
              <w:spacing w:line="300" w:lineRule="exact"/>
              <w:ind w:firstLine="544"/>
              <w:rPr>
                <w:rFonts w:ascii="仿宋_GB2312" w:eastAsia="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t>完成情况综述：</w:t>
            </w:r>
            <w:r w:rsidRPr="00E25D5A">
              <w:rPr>
                <w:rFonts w:ascii="仿宋_GB2312" w:eastAsia="仿宋_GB2312" w:hAnsi="仿宋_GB2312" w:cs="仿宋_GB2312" w:hint="eastAsia"/>
                <w:color w:val="000000" w:themeColor="text1"/>
                <w:sz w:val="18"/>
                <w:szCs w:val="18"/>
              </w:rPr>
              <w:t>①建立了文旅系统疫情防控组织领导机制，制定实施疫情防控工作指南，指导企业有序复产复工，组建10个区市工作专班督导相关部门和企业落实防控措施；完善常态化防控举措，推进落实旅游景区分时预约制，严防旅游景区和文化场馆人员聚集。</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②梳理了国家、省、市有关政策文件形成“政策包”下发企业。</w:t>
            </w:r>
            <w:r w:rsidRPr="00E25D5A">
              <w:rPr>
                <w:rFonts w:ascii="仿宋_GB2312" w:eastAsia="仿宋_GB2312" w:hAnsi="黑体" w:hint="eastAsia"/>
                <w:color w:val="000000" w:themeColor="text1"/>
                <w:sz w:val="18"/>
                <w:szCs w:val="18"/>
              </w:rPr>
              <w:t>退还399家旅行社质量保证金9038.5万元。以</w:t>
            </w:r>
            <w:r w:rsidRPr="00E25D5A">
              <w:rPr>
                <w:rFonts w:ascii="仿宋_GB2312" w:eastAsia="仿宋_GB2312" w:hAnsi="仿宋_GB2312" w:cs="仿宋_GB2312" w:hint="eastAsia"/>
                <w:color w:val="000000" w:themeColor="text1"/>
                <w:sz w:val="18"/>
                <w:szCs w:val="18"/>
              </w:rPr>
              <w:t>市政府名义出台了《关于应对新冠肺炎疫情影响支持文化和旅游业发展若干政策措施》，并做好政策解读，无负面舆情。</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③争取市财政支持，进行预算调整和财政资金追加，加大营销资金投入。编制实施《疫情后青岛旅游振兴营销工程方案》，线上线下全方位开展系列营销活动，组织开展了519旅游日、青岛安好、青岛带节奏、胶东海洋童玩季等活动。</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④</w:t>
            </w:r>
            <w:r w:rsidRPr="00E25D5A">
              <w:rPr>
                <w:rFonts w:ascii="仿宋_GB2312" w:eastAsia="仿宋_GB2312" w:hint="eastAsia"/>
                <w:color w:val="000000" w:themeColor="text1"/>
                <w:sz w:val="18"/>
                <w:szCs w:val="18"/>
              </w:rPr>
              <w:t>开展了“云课堂”“云展览”“云书场”等活动100余场。</w:t>
            </w:r>
            <w:r w:rsidRPr="00E25D5A">
              <w:rPr>
                <w:rFonts w:ascii="仿宋_GB2312" w:eastAsia="仿宋_GB2312" w:hAnsi="仿宋_GB2312" w:cs="仿宋_GB2312" w:hint="eastAsia"/>
                <w:color w:val="000000" w:themeColor="text1"/>
                <w:sz w:val="18"/>
                <w:szCs w:val="18"/>
              </w:rPr>
              <w:t>推出了“网游青博”虚拟展厅；举办了网络读书朗诵大赛文化活动；开展“丈量青岛”网上直播活动5期；组织文旅企业依托文化消费公共服务平台发售线上产品、服务10683项，联合美团点评集团开展了“景区门票预售”活动，推动企业线上线下协同发展。受疫情影响，1-10月份，限上住宿业营业额26.8亿元，同比下降33.5%，预计全年下降30%；规上旅行社及相关服务营业收入9.8亿元，同比下降62.1 %，预计全年下降60%。今年前三季度，全市规模以上文化企业实现营业收入841亿元，同比增长15.4%，比全省高15.3个百分点。</w:t>
            </w:r>
          </w:p>
        </w:tc>
      </w:tr>
      <w:tr w:rsidR="00E25D5A" w:rsidRPr="008A2282" w:rsidTr="00E25D5A">
        <w:trPr>
          <w:jc w:val="center"/>
        </w:trPr>
        <w:tc>
          <w:tcPr>
            <w:tcW w:w="649" w:type="dxa"/>
            <w:vMerge/>
            <w:vAlign w:val="center"/>
          </w:tcPr>
          <w:p w:rsidR="00E25D5A" w:rsidRPr="008A2282" w:rsidRDefault="00E25D5A" w:rsidP="00A41C90">
            <w:pPr>
              <w:spacing w:line="260" w:lineRule="exact"/>
              <w:jc w:val="center"/>
              <w:rPr>
                <w:rFonts w:ascii="楷体_GB2312" w:eastAsia="楷体_GB2312" w:hAnsi="宋体"/>
                <w:color w:val="000000" w:themeColor="text1"/>
                <w:kern w:val="0"/>
                <w:sz w:val="24"/>
              </w:rPr>
            </w:pP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t>2</w:t>
            </w:r>
          </w:p>
        </w:tc>
        <w:tc>
          <w:tcPr>
            <w:tcW w:w="1559" w:type="dxa"/>
            <w:vAlign w:val="center"/>
          </w:tcPr>
          <w:p w:rsidR="00E25D5A" w:rsidRPr="00E25D5A" w:rsidRDefault="00E25D5A" w:rsidP="00A41C90">
            <w:pPr>
              <w:spacing w:line="320" w:lineRule="exac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推进国际时尚城建设攻势，持续打造时尚文旅品牌</w:t>
            </w:r>
          </w:p>
        </w:tc>
        <w:tc>
          <w:tcPr>
            <w:tcW w:w="6237" w:type="dxa"/>
            <w:vAlign w:val="center"/>
          </w:tcPr>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t>目标内容：</w:t>
            </w:r>
            <w:r w:rsidRPr="00E25D5A">
              <w:rPr>
                <w:rFonts w:ascii="仿宋_GB2312" w:eastAsia="仿宋_GB2312" w:hAnsi="仿宋_GB2312" w:cs="仿宋_GB2312" w:hint="eastAsia"/>
                <w:color w:val="000000" w:themeColor="text1"/>
                <w:sz w:val="18"/>
                <w:szCs w:val="18"/>
              </w:rPr>
              <w:t>①搭建时尚文旅节会平台。视疫情防控形势，策划举办第55届全国工艺品交易会、青岛国际影视博览会、第八届国际邮轮峰会、谭盾·青岛国际音乐周等文旅节会活动，持续提升时尚城市影响力；②加大时尚旅游产品供给。围绕“时尚青岛”品牌，系统打造青岛文旅品牌VI形象系统，策划推出10大系列旅游主题产品和100个时尚打卡地；③加强艺术精品创作。聘请国际知名音乐家叶小钢打造提升《青岛组歌》；围绕建党100周年，立项创排歌剧《国·家》、吕剧《民心安处是吾乡》等文艺作品；④持续打造时尚消费聚集区。制定印发《青岛市音乐酒吧管理扶持办法（试行）》，争取扶持一批音乐酒吧；⑤加快发展优势时尚产业。出台5G高新视频实验园区</w:t>
            </w:r>
            <w:r w:rsidRPr="00E25D5A">
              <w:rPr>
                <w:rFonts w:ascii="仿宋_GB2312" w:eastAsia="仿宋_GB2312" w:hAnsi="仿宋_GB2312" w:cs="仿宋_GB2312" w:hint="eastAsia"/>
                <w:color w:val="000000" w:themeColor="text1"/>
                <w:sz w:val="18"/>
                <w:szCs w:val="18"/>
              </w:rPr>
              <w:lastRenderedPageBreak/>
              <w:t>推进建设实施方案和推动超高清视频内容制作的政策措施；推进阿里嘉果时尚产业创新基地项目注册落地。⑥修改完善和兑现优秀影视作品制作成本补贴政策，吸引一批优质电影、电视剧和综艺节目来青摄制。⑦编制文化产业人才发展规划，加快形成产业人才队伍建设新格局。</w:t>
            </w:r>
          </w:p>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完成情况综述：</w:t>
            </w:r>
            <w:r w:rsidRPr="00E25D5A">
              <w:rPr>
                <w:rFonts w:ascii="仿宋_GB2312" w:eastAsia="仿宋_GB2312" w:hAnsi="黑体" w:cs="仿宋_GB2312" w:hint="eastAsia"/>
                <w:color w:val="000000" w:themeColor="text1"/>
                <w:sz w:val="18"/>
                <w:szCs w:val="18"/>
              </w:rPr>
              <w:t>①</w:t>
            </w:r>
            <w:r w:rsidRPr="00E25D5A">
              <w:rPr>
                <w:rFonts w:ascii="仿宋_GB2312" w:eastAsia="仿宋_GB2312" w:hAnsi="仿宋_GB2312" w:cs="仿宋_GB2312" w:hint="eastAsia"/>
                <w:color w:val="000000" w:themeColor="text1"/>
                <w:sz w:val="18"/>
                <w:szCs w:val="18"/>
              </w:rPr>
              <w:t>成功举办了第55届全国工艺品交易会、青岛国际影视博览会、第八届国际邮轮峰会、谭盾·青岛国际音乐周、</w:t>
            </w:r>
            <w:r w:rsidRPr="00E25D5A">
              <w:rPr>
                <w:rFonts w:ascii="仿宋_GB2312" w:eastAsia="仿宋_GB2312" w:hAnsi="Arial" w:cs="Arial" w:hint="eastAsia"/>
                <w:color w:val="000000" w:themeColor="text1"/>
                <w:sz w:val="18"/>
                <w:szCs w:val="18"/>
                <w:shd w:val="clear" w:color="auto" w:fill="FFFFFF"/>
              </w:rPr>
              <w:t>国际吉他艺术节</w:t>
            </w:r>
            <w:r w:rsidRPr="00E25D5A">
              <w:rPr>
                <w:rFonts w:ascii="仿宋_GB2312" w:eastAsia="仿宋_GB2312" w:hAnsi="仿宋_GB2312" w:cs="仿宋_GB2312" w:hint="eastAsia"/>
                <w:color w:val="000000" w:themeColor="text1"/>
                <w:sz w:val="18"/>
                <w:szCs w:val="18"/>
              </w:rPr>
              <w:t>等文旅节会活动，有效提升了时尚城市影响力和关注度；</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②打造了</w:t>
            </w:r>
            <w:r w:rsidRPr="00E25D5A">
              <w:rPr>
                <w:rFonts w:ascii="仿宋_GB2312" w:eastAsia="仿宋_GB2312" w:hint="eastAsia"/>
                <w:color w:val="000000" w:themeColor="text1"/>
                <w:sz w:val="18"/>
                <w:szCs w:val="18"/>
              </w:rPr>
              <w:t>“栈桥+回澜阁”</w:t>
            </w:r>
            <w:r w:rsidRPr="00E25D5A">
              <w:rPr>
                <w:rFonts w:ascii="仿宋_GB2312" w:eastAsia="仿宋_GB2312" w:hAnsi="仿宋_GB2312" w:cs="仿宋_GB2312" w:hint="eastAsia"/>
                <w:color w:val="000000" w:themeColor="text1"/>
                <w:sz w:val="18"/>
                <w:szCs w:val="18"/>
              </w:rPr>
              <w:t>文旅品牌VI形象系统</w:t>
            </w:r>
            <w:r w:rsidRPr="00E25D5A">
              <w:rPr>
                <w:rFonts w:ascii="仿宋_GB2312" w:eastAsia="仿宋_GB2312" w:hint="eastAsia"/>
                <w:color w:val="000000" w:themeColor="text1"/>
                <w:sz w:val="18"/>
                <w:szCs w:val="18"/>
              </w:rPr>
              <w:t>，推出“时尚青岛”十大系列主题产品，包括100项潮流打卡地，105项时尚体验项目，25条精品线路等内容，并结合519旅游日等进行了宣传推广。</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③</w:t>
            </w:r>
            <w:r w:rsidRPr="00E25D5A">
              <w:rPr>
                <w:rFonts w:ascii="仿宋_GB2312" w:eastAsia="仿宋_GB2312" w:hAnsi="仿宋_GB2312" w:cs="仿宋_GB2312" w:hint="eastAsia"/>
                <w:bCs/>
                <w:color w:val="000000" w:themeColor="text1"/>
                <w:sz w:val="18"/>
                <w:szCs w:val="18"/>
              </w:rPr>
              <w:t>叶小钢《青岛组曲》预计12月中旬完成。歌剧《国·家》主创人员11月25日在北京参加剧本研讨会。吕剧《民心安处是吾乡》已于2020年9月1日、2日在青岛人民会堂进行了首演。</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④</w:t>
            </w:r>
            <w:r w:rsidRPr="00E25D5A">
              <w:rPr>
                <w:rFonts w:ascii="仿宋_GB2312" w:eastAsia="仿宋_GB2312" w:hAnsi="仿宋_GB2312" w:cs="仿宋_GB2312" w:hint="eastAsia"/>
                <w:bCs/>
                <w:color w:val="000000" w:themeColor="text1"/>
                <w:sz w:val="18"/>
                <w:szCs w:val="18"/>
              </w:rPr>
              <w:t>印发了《青岛市音乐酒吧管理扶持办法（试行）》，扶持了46家音乐酒吧。</w:t>
            </w:r>
          </w:p>
          <w:p w:rsidR="00E25D5A" w:rsidRPr="00E25D5A" w:rsidRDefault="00E25D5A" w:rsidP="00A41C90">
            <w:pPr>
              <w:spacing w:line="300" w:lineRule="exact"/>
              <w:ind w:firstLine="48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⑤</w:t>
            </w:r>
            <w:r w:rsidRPr="00E25D5A">
              <w:rPr>
                <w:rFonts w:ascii="仿宋_GB2312" w:eastAsia="仿宋_GB2312" w:hAnsi="仿宋_GB2312" w:cs="仿宋_GB2312" w:hint="eastAsia"/>
                <w:color w:val="000000" w:themeColor="text1"/>
                <w:sz w:val="18"/>
                <w:szCs w:val="18"/>
              </w:rPr>
              <w:t>聚焦高新视频产业发展，以市政府名义出台5G高新视频产业园区建设推进方案，招引高新视频、影视制作、动画等企业60家，其中头部企业18家。</w:t>
            </w:r>
            <w:r w:rsidRPr="00E25D5A">
              <w:rPr>
                <w:rFonts w:ascii="仿宋_GB2312" w:eastAsia="仿宋_GB2312" w:hAnsi="黑体" w:hint="eastAsia"/>
                <w:color w:val="000000" w:themeColor="text1"/>
                <w:sz w:val="18"/>
                <w:szCs w:val="18"/>
              </w:rPr>
              <w:t>完成项目主体运营公司青岛嘉果时尚科技有限公司在自贸区注册落地，目前已聚集海内外优秀艺术家、设计师近200名。</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⑥修改完善和兑现优秀影视作品制作成本补贴政策，为电视剧《冰糖炖雪梨》发放补贴1260万元。引入电影《独行月球》、电视剧《舍我其谁》、网络综艺《这!就是灌篮》第三季等在东方影都摄制。</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⑦</w:t>
            </w:r>
            <w:r w:rsidRPr="00E25D5A">
              <w:rPr>
                <w:rFonts w:ascii="仿宋_GB2312" w:eastAsia="仿宋_GB2312" w:hAnsi="黑体" w:hint="eastAsia"/>
                <w:color w:val="000000" w:themeColor="text1"/>
                <w:sz w:val="18"/>
                <w:szCs w:val="18"/>
              </w:rPr>
              <w:t>经资料梳理、深入调研、数据分析、规划编制、专家审议等各项工作，人才发展规划已完成。</w:t>
            </w:r>
          </w:p>
        </w:tc>
      </w:tr>
      <w:tr w:rsidR="00E25D5A" w:rsidRPr="008A2282" w:rsidTr="00E25D5A">
        <w:trPr>
          <w:jc w:val="center"/>
        </w:trPr>
        <w:tc>
          <w:tcPr>
            <w:tcW w:w="649" w:type="dxa"/>
            <w:vMerge/>
            <w:vAlign w:val="center"/>
          </w:tcPr>
          <w:p w:rsidR="00E25D5A" w:rsidRPr="008A2282" w:rsidRDefault="00E25D5A" w:rsidP="00A41C90">
            <w:pPr>
              <w:spacing w:line="260" w:lineRule="exact"/>
              <w:jc w:val="center"/>
              <w:rPr>
                <w:rFonts w:ascii="楷体_GB2312" w:eastAsia="楷体_GB2312" w:hAnsi="宋体"/>
                <w:color w:val="000000" w:themeColor="text1"/>
                <w:kern w:val="0"/>
                <w:sz w:val="24"/>
              </w:rPr>
            </w:pP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t>3</w:t>
            </w:r>
          </w:p>
        </w:tc>
        <w:tc>
          <w:tcPr>
            <w:tcW w:w="1559" w:type="dxa"/>
            <w:vAlign w:val="center"/>
          </w:tcPr>
          <w:p w:rsidR="00E25D5A" w:rsidRPr="00E25D5A" w:rsidRDefault="00E25D5A" w:rsidP="00A41C90">
            <w:pPr>
              <w:spacing w:line="320" w:lineRule="exac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深化实施全民阅读工程，夯实城市文化底蕴</w:t>
            </w:r>
          </w:p>
        </w:tc>
        <w:tc>
          <w:tcPr>
            <w:tcW w:w="6237" w:type="dxa"/>
            <w:vAlign w:val="center"/>
          </w:tcPr>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t>目标内容：</w:t>
            </w:r>
            <w:r w:rsidRPr="00E25D5A">
              <w:rPr>
                <w:rFonts w:ascii="仿宋_GB2312" w:eastAsia="仿宋_GB2312" w:hAnsi="仿宋_GB2312" w:cs="仿宋_GB2312" w:hint="eastAsia"/>
                <w:color w:val="000000" w:themeColor="text1"/>
                <w:sz w:val="18"/>
                <w:szCs w:val="18"/>
              </w:rPr>
              <w:t>①高标准推进全民阅读工作。积极争取市政府将建设全民阅读设施纳入2020年度市办实事；②加快阅读设施建设。积极争取市财政资金，全年建设全民阅读设施150处，其中新增“悦读”社区书屋20处，增设共享智慧书亭100处，设置全民阅读朗读亭30处，推动形成覆盖市区的阅读网络；③积极培树全民阅读先进典型。深入动员挖掘全市机关事业单位、街道（镇）、社区（村）和企业全民阅读先进典型，在全省全民阅读评选中争创佳绩；④开展形式多样的全民阅读活动。举办2020年青岛市全民阅读“云启动”仪式，推动数字化网上阅读；与市直机关工委联合开展读书征文活动, 与市文明办、市妇联等部门联合开展“最美家庭”评选活动，组织阅读机构开展即墨古城大讲堂、汇泉讲堂等系列精品阅读活动，全年组织全民阅读活动项目不少于200项。</w:t>
            </w:r>
          </w:p>
          <w:p w:rsidR="00E25D5A" w:rsidRPr="00E25D5A" w:rsidRDefault="00E25D5A" w:rsidP="00A41C90">
            <w:pPr>
              <w:spacing w:line="300" w:lineRule="exact"/>
              <w:ind w:firstLine="48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完成情况综述：</w:t>
            </w:r>
            <w:r w:rsidRPr="00E25D5A">
              <w:rPr>
                <w:rFonts w:ascii="仿宋_GB2312" w:eastAsia="仿宋_GB2312" w:hAnsi="黑体" w:hint="eastAsia"/>
                <w:color w:val="000000" w:themeColor="text1"/>
                <w:sz w:val="18"/>
                <w:szCs w:val="18"/>
              </w:rPr>
              <w:t>①“建设150处全民阅读设施”列入2020年市办实事。</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②</w:t>
            </w:r>
            <w:r w:rsidRPr="00E25D5A">
              <w:rPr>
                <w:rFonts w:ascii="仿宋_GB2312" w:eastAsia="仿宋_GB2312" w:hAnsi="黑体" w:hint="eastAsia"/>
                <w:color w:val="000000" w:themeColor="text1"/>
                <w:sz w:val="18"/>
                <w:szCs w:val="18"/>
              </w:rPr>
              <w:t>全部建设完成150处全民阅读设施，其中新增“悦读”社区书屋20处,共享智慧书亭100处,全民阅读朗读亭30处，遍布岛城的知名景区、图书馆、学校、大型商超及社区。</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③</w:t>
            </w:r>
            <w:r w:rsidRPr="00E25D5A">
              <w:rPr>
                <w:rFonts w:ascii="仿宋_GB2312" w:eastAsia="仿宋_GB2312" w:hAnsi="黑体" w:hint="eastAsia"/>
                <w:color w:val="000000" w:themeColor="text1"/>
                <w:sz w:val="18"/>
                <w:szCs w:val="18"/>
              </w:rPr>
              <w:t>在山东省第五届全民阅读先进典型评选中，我局被省委宣传部表彰为书香机关，另有20个单位和个人获评书香之乡（镇、街道）、书香之村（社区）、书香机关、书香企业、阅读推广人和优秀阅读项目，我市整体受表彰数量居全省首位。</w:t>
            </w:r>
          </w:p>
          <w:p w:rsidR="00E25D5A" w:rsidRPr="00E25D5A" w:rsidRDefault="00E25D5A" w:rsidP="00A41C90">
            <w:pPr>
              <w:spacing w:line="300" w:lineRule="exact"/>
              <w:ind w:firstLine="48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lastRenderedPageBreak/>
              <w:t>④</w:t>
            </w:r>
            <w:r w:rsidRPr="00E25D5A">
              <w:rPr>
                <w:rFonts w:ascii="仿宋_GB2312" w:eastAsia="仿宋_GB2312" w:hAnsi="黑体" w:hint="eastAsia"/>
                <w:color w:val="000000" w:themeColor="text1"/>
                <w:sz w:val="18"/>
                <w:szCs w:val="18"/>
              </w:rPr>
              <w:t>制定实施《青岛市2020年全民阅读工作实施方案》，通过线上、线下组织开展200余项全民阅读活动。举办了全民阅读“云启动”仪式，推动数字化网上阅读。联合市直机关工委开展了2020“学理论、悟原理、促‘三述’”读书征文活动，与市妇联等10个单位评选2020年青岛市“十大最美家庭”、“十大绿色家庭”、“最美家庭”、“绿色家庭”。开展了“汇泉讲堂”、“即墨古城大讲堂”系列活动。</w:t>
            </w:r>
          </w:p>
        </w:tc>
      </w:tr>
      <w:tr w:rsidR="00E25D5A" w:rsidRPr="008A2282" w:rsidTr="00E25D5A">
        <w:trPr>
          <w:jc w:val="center"/>
        </w:trPr>
        <w:tc>
          <w:tcPr>
            <w:tcW w:w="649" w:type="dxa"/>
            <w:vMerge/>
            <w:vAlign w:val="center"/>
          </w:tcPr>
          <w:p w:rsidR="00E25D5A" w:rsidRPr="008A2282" w:rsidRDefault="00E25D5A" w:rsidP="00A41C90">
            <w:pPr>
              <w:spacing w:line="260" w:lineRule="exact"/>
              <w:jc w:val="center"/>
              <w:rPr>
                <w:rFonts w:ascii="楷体_GB2312" w:eastAsia="楷体_GB2312" w:hAnsi="宋体"/>
                <w:color w:val="000000" w:themeColor="text1"/>
                <w:kern w:val="0"/>
                <w:sz w:val="24"/>
              </w:rPr>
            </w:pP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t>4</w:t>
            </w:r>
          </w:p>
        </w:tc>
        <w:tc>
          <w:tcPr>
            <w:tcW w:w="1559" w:type="dxa"/>
            <w:vAlign w:val="center"/>
          </w:tcPr>
          <w:p w:rsidR="00E25D5A" w:rsidRPr="00E25D5A" w:rsidRDefault="00E25D5A" w:rsidP="00A41C90">
            <w:pPr>
              <w:spacing w:line="320" w:lineRule="exac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创新旅游营销模式，拉动文化旅游惠民消费</w:t>
            </w:r>
          </w:p>
        </w:tc>
        <w:tc>
          <w:tcPr>
            <w:tcW w:w="6237" w:type="dxa"/>
            <w:vAlign w:val="center"/>
          </w:tcPr>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t>目标内容：</w:t>
            </w:r>
            <w:r w:rsidRPr="00E25D5A">
              <w:rPr>
                <w:rFonts w:ascii="仿宋_GB2312" w:eastAsia="仿宋_GB2312" w:hAnsi="仿宋_GB2312" w:cs="仿宋_GB2312" w:hint="eastAsia"/>
                <w:color w:val="000000" w:themeColor="text1"/>
                <w:sz w:val="18"/>
                <w:szCs w:val="18"/>
              </w:rPr>
              <w:t>①全方位开展旅游营销。系统开展旅游主题产品营销，举办想念青岛、青岛24小时、示爱青岛、青岛带节奏等网上营销活动；利用微博、微信、抖音等大流量新媒体平台建立新媒体营销矩阵，面向高铁在途旅客推送青岛旅游、购物、娱乐等信息；②开展“青岛100个故事连环话”主题宣传推介。充分挖掘青岛海洋文化根脉，系统梳理青岛本土文旅符号，讲好“青岛故事”，与青岛日报社联合推出“碧海潮生是故乡—青岛100个故事连环话”，以全媒体的传播方式，重现100个青岛历史场景；③开展文化惠民消费促进活动。整合书店、影剧院、博物馆、文化培训机构等资源，线上线下相结合，激发城乡居民文化消费热情，拉动经济增长；④开展旅游惠民消费促进活动。与美团等OTA平台合作，通过发放消费券方式，带动旅游企业推出打折促销产品，拉动旅游消费；⑤挖掘乡村旅游资源，打造一批精品文旅小镇和景区化村庄，培育乡村旅游特色点，助力推进乡村旅游消费和脱贫攻坚。⑥扩大滨海旅游优势，挖掘利用好内在潜力，改善结构，支持发展邮轮游、海上游和海岛游。</w:t>
            </w:r>
          </w:p>
          <w:p w:rsidR="00E25D5A" w:rsidRPr="00E25D5A" w:rsidRDefault="00E25D5A" w:rsidP="00A41C90">
            <w:pPr>
              <w:spacing w:line="300" w:lineRule="exact"/>
              <w:ind w:firstLineChars="200" w:firstLine="361"/>
              <w:rPr>
                <w:rFonts w:ascii="仿宋_GB2312" w:eastAsia="仿宋_GB2312" w:hAnsi="黑体"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完成情况综述：</w:t>
            </w:r>
            <w:r w:rsidRPr="00E25D5A">
              <w:rPr>
                <w:rFonts w:ascii="仿宋_GB2312" w:eastAsia="仿宋_GB2312" w:hAnsi="黑体" w:cs="仿宋_GB2312" w:hint="eastAsia"/>
                <w:color w:val="000000" w:themeColor="text1"/>
                <w:sz w:val="18"/>
                <w:szCs w:val="18"/>
              </w:rPr>
              <w:t>①</w:t>
            </w:r>
            <w:r w:rsidRPr="00E25D5A">
              <w:rPr>
                <w:rFonts w:ascii="仿宋_GB2312" w:eastAsia="仿宋_GB2312" w:hint="eastAsia"/>
                <w:color w:val="000000" w:themeColor="text1"/>
                <w:sz w:val="18"/>
                <w:szCs w:val="18"/>
              </w:rPr>
              <w:t>完成想念青岛、青岛24小时、示爱青岛、青岛带节奏等网上营销活动；建立微博、微信、抖音新媒体营销矩阵系统开展营销；通过掌上高铁APP面向高铁旅客推送青岛旅游等信息，进行城市形象宣传。</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②与青岛日报</w:t>
            </w:r>
            <w:r w:rsidRPr="00E25D5A">
              <w:rPr>
                <w:rFonts w:ascii="仿宋_GB2312" w:eastAsia="仿宋_GB2312" w:hAnsi="仿宋_GB2312" w:cs="仿宋_GB2312" w:hint="eastAsia"/>
                <w:color w:val="000000" w:themeColor="text1"/>
                <w:sz w:val="18"/>
                <w:szCs w:val="18"/>
              </w:rPr>
              <w:t>推出“碧海潮生是故乡—青岛100个故事连环话”，已刊发94期，预计年底将达100期。</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③</w:t>
            </w:r>
            <w:r w:rsidRPr="00E25D5A">
              <w:rPr>
                <w:rFonts w:ascii="仿宋_GB2312" w:eastAsia="仿宋_GB2312" w:hAnsi="黑体" w:hint="eastAsia"/>
                <w:color w:val="000000" w:themeColor="text1"/>
                <w:sz w:val="18"/>
                <w:szCs w:val="18"/>
              </w:rPr>
              <w:t>开展了文化惠民消费促进活动，消费者可在图书报刊、影视与文化演出以及文化艺术培训、文化体验等领域享受单次消费最高30%的补贴，发放文化惠民补贴2169.94万元，在青岛市文化消费公共服务平台直接拉动文化消费8457.71万元。</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④与美团、携程等平台</w:t>
            </w:r>
            <w:r w:rsidRPr="00E25D5A">
              <w:rPr>
                <w:rFonts w:ascii="仿宋_GB2312" w:eastAsia="仿宋_GB2312" w:hint="eastAsia"/>
                <w:color w:val="000000" w:themeColor="text1"/>
                <w:sz w:val="18"/>
                <w:szCs w:val="18"/>
              </w:rPr>
              <w:t>举办旅游惠民活动两期，发放消费券829.99万元，吸引59万人参与，直接带动消费8057.48万元，拉动间接消费14.66亿元。</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⑤</w:t>
            </w:r>
            <w:r w:rsidRPr="00E25D5A">
              <w:rPr>
                <w:rFonts w:ascii="仿宋_GB2312" w:eastAsia="仿宋_GB2312" w:hAnsi="黑体" w:hint="eastAsia"/>
                <w:color w:val="000000" w:themeColor="text1"/>
                <w:sz w:val="18"/>
                <w:szCs w:val="18"/>
              </w:rPr>
              <w:t>指导东麦窑社区成功创建第二批全国乡村旅游重点村。指导大泽山镇等7个镇、唐家庄社区等21个村申报省级精品文旅小镇和景区化村庄，即将评定迎检。拨付乡村旅游扶持奖励专项资金730万元。启动乡村旅游示范单位评选工作，培育评定17个乡村旅游特色村、21个乡村旅游特色点和6个乡村旅游合作社。</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⑥</w:t>
            </w:r>
            <w:r w:rsidRPr="00E25D5A">
              <w:rPr>
                <w:rFonts w:ascii="仿宋_GB2312" w:eastAsia="仿宋_GB2312" w:hAnsi="黑体" w:cs="仿宋_GB2312" w:hint="eastAsia"/>
                <w:color w:val="000000" w:themeColor="text1"/>
                <w:sz w:val="18"/>
                <w:szCs w:val="18"/>
              </w:rPr>
              <w:t>成立了青岛市推动海洋旅游工作专班，</w:t>
            </w:r>
            <w:r w:rsidRPr="00E25D5A">
              <w:rPr>
                <w:rFonts w:ascii="仿宋_GB2312" w:eastAsia="仿宋_GB2312" w:hint="eastAsia"/>
                <w:color w:val="000000" w:themeColor="text1"/>
                <w:sz w:val="18"/>
                <w:szCs w:val="18"/>
              </w:rPr>
              <w:t>制定市海洋旅游高质量发展总体方案，印发了海洋旅游重点工作清单及责任分工。举办了第八届中国（青岛）国际邮轮峰会，为</w:t>
            </w:r>
            <w:r w:rsidRPr="00E25D5A">
              <w:rPr>
                <w:rFonts w:ascii="仿宋_GB2312" w:eastAsia="仿宋_GB2312" w:cs="黑体" w:hint="eastAsia"/>
                <w:color w:val="000000" w:themeColor="text1"/>
                <w:sz w:val="18"/>
                <w:szCs w:val="18"/>
              </w:rPr>
              <w:t>17家邮轮公司和包船企业兑现邮轮补贴2070万元。</w:t>
            </w:r>
            <w:r w:rsidRPr="00E25D5A">
              <w:rPr>
                <w:rFonts w:ascii="仿宋_GB2312" w:eastAsia="仿宋_GB2312" w:hint="eastAsia"/>
                <w:color w:val="000000" w:themeColor="text1"/>
                <w:sz w:val="18"/>
                <w:szCs w:val="18"/>
              </w:rPr>
              <w:t>对常态化运营的海上夜间旅游项目进行补贴，积极开发奥帆中心经海底世界到轮渡海上旅游航线。积极引进海南蜈支洲旅游开发股份有限公司，发展我市海岛旅游。</w:t>
            </w:r>
          </w:p>
        </w:tc>
      </w:tr>
      <w:tr w:rsidR="00E25D5A" w:rsidRPr="008A2282" w:rsidTr="00E25D5A">
        <w:trPr>
          <w:jc w:val="center"/>
        </w:trPr>
        <w:tc>
          <w:tcPr>
            <w:tcW w:w="649" w:type="dxa"/>
            <w:vMerge/>
            <w:vAlign w:val="center"/>
          </w:tcPr>
          <w:p w:rsidR="00E25D5A" w:rsidRPr="008A2282" w:rsidRDefault="00E25D5A" w:rsidP="00A41C90">
            <w:pPr>
              <w:spacing w:line="260" w:lineRule="exact"/>
              <w:jc w:val="center"/>
              <w:rPr>
                <w:rFonts w:ascii="楷体_GB2312" w:eastAsia="楷体_GB2312" w:hAnsi="宋体"/>
                <w:color w:val="000000" w:themeColor="text1"/>
                <w:kern w:val="0"/>
                <w:sz w:val="24"/>
              </w:rPr>
            </w:pP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t>5</w:t>
            </w:r>
          </w:p>
        </w:tc>
        <w:tc>
          <w:tcPr>
            <w:tcW w:w="1559" w:type="dxa"/>
            <w:vAlign w:val="center"/>
          </w:tcPr>
          <w:p w:rsidR="00E25D5A" w:rsidRPr="00E25D5A" w:rsidRDefault="00E25D5A" w:rsidP="00A41C90">
            <w:pPr>
              <w:spacing w:line="320" w:lineRule="exact"/>
              <w:jc w:val="lef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以建设上合商旅</w:t>
            </w:r>
            <w:r w:rsidRPr="00E25D5A">
              <w:rPr>
                <w:rFonts w:ascii="仿宋_GB2312" w:eastAsia="仿宋_GB2312" w:hAnsi="仿宋_GB2312" w:cs="仿宋_GB2312" w:hint="eastAsia"/>
                <w:color w:val="000000" w:themeColor="text1"/>
                <w:sz w:val="18"/>
                <w:szCs w:val="18"/>
              </w:rPr>
              <w:lastRenderedPageBreak/>
              <w:t>文中心为引领，全力推进招商引资工作</w:t>
            </w:r>
          </w:p>
        </w:tc>
        <w:tc>
          <w:tcPr>
            <w:tcW w:w="6237" w:type="dxa"/>
            <w:vAlign w:val="center"/>
          </w:tcPr>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lastRenderedPageBreak/>
              <w:t>目标内容：</w:t>
            </w:r>
            <w:r w:rsidRPr="00E25D5A">
              <w:rPr>
                <w:rFonts w:ascii="仿宋_GB2312" w:eastAsia="仿宋_GB2312" w:hAnsi="仿宋_GB2312" w:cs="仿宋_GB2312" w:hint="eastAsia"/>
                <w:color w:val="000000" w:themeColor="text1"/>
                <w:sz w:val="18"/>
                <w:szCs w:val="18"/>
              </w:rPr>
              <w:t>①加大上合示范区项目招引。建立与上合示范区管委和相关</w:t>
            </w:r>
            <w:r w:rsidRPr="00E25D5A">
              <w:rPr>
                <w:rFonts w:ascii="仿宋_GB2312" w:eastAsia="仿宋_GB2312" w:hAnsi="仿宋_GB2312" w:cs="仿宋_GB2312" w:hint="eastAsia"/>
                <w:color w:val="000000" w:themeColor="text1"/>
                <w:sz w:val="18"/>
                <w:szCs w:val="18"/>
              </w:rPr>
              <w:lastRenderedPageBreak/>
              <w:t>市直部门的常态化沟通协调机制，推进商旅文融合，加快推进俄罗斯雅钻（青岛）文化旅游交流中心、恒大水世界等项目，积极引进文旅企业入驻上合示范区；②加大招商引资力度。全力推进单体投资5000万以上，总投资3500亿以上的99个重点文旅项目；推进西班牙福赛酒店、温泉小镇、华道中歌世纪、中科院康养基地等项目签约落地；③提升市场化配置资源效率，拓展社会化招商渠道，以春光里产投生态综合体招商平台为依托，打造青岛文旅国际客厅；④扶持文旅协会做大做强。推进成立网红协会、影视行业制片人协会、航空旅游协会等协会组织；⑤加快文旅产业与工业互联网融合发展。依托青岛市旅游信息平台，深化与海尔卡奥斯合作，打造助企惠民一站式公共服务平台；⑥加快培育发展航空旅游、房车营地、研学旅游、工业旅游等新业态，打造网红时尚经济产业园、天空之橙文创经济产业园。</w:t>
            </w:r>
          </w:p>
          <w:p w:rsidR="00E25D5A" w:rsidRPr="00E25D5A" w:rsidRDefault="00E25D5A" w:rsidP="00A41C90">
            <w:pPr>
              <w:spacing w:line="300" w:lineRule="exact"/>
              <w:ind w:firstLine="482"/>
              <w:rPr>
                <w:rFonts w:ascii="仿宋_GB2312" w:eastAsia="仿宋_GB2312" w:hAnsi="黑体"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完成情况综述：</w:t>
            </w:r>
            <w:r w:rsidRPr="00E25D5A">
              <w:rPr>
                <w:rFonts w:ascii="仿宋_GB2312" w:eastAsia="仿宋_GB2312" w:hAnsi="黑体" w:cs="仿宋_GB2312" w:hint="eastAsia"/>
                <w:color w:val="000000" w:themeColor="text1"/>
                <w:sz w:val="18"/>
                <w:szCs w:val="18"/>
              </w:rPr>
              <w:t>①建立</w:t>
            </w:r>
            <w:r w:rsidRPr="00E25D5A">
              <w:rPr>
                <w:rFonts w:ascii="仿宋_GB2312" w:eastAsia="仿宋_GB2312" w:hAnsi="黑体" w:hint="eastAsia"/>
                <w:bCs/>
                <w:color w:val="000000" w:themeColor="text1"/>
                <w:sz w:val="18"/>
                <w:szCs w:val="18"/>
              </w:rPr>
              <w:t>了上合示范区商旅文专班工作调度机制，不定期组织商旅文专班成员单位到上合示范区进行座谈、调研。投资20亿元的俄罗斯雅钻（青岛）文化旅</w:t>
            </w:r>
            <w:r w:rsidRPr="00E25D5A">
              <w:rPr>
                <w:rFonts w:ascii="仿宋_GB2312" w:eastAsia="仿宋_GB2312" w:hAnsi="仿宋_GB2312" w:cs="仿宋_GB2312" w:hint="eastAsia"/>
                <w:color w:val="000000" w:themeColor="text1"/>
                <w:sz w:val="18"/>
                <w:szCs w:val="18"/>
              </w:rPr>
              <w:t>游交流中心项目正式签约落地</w:t>
            </w:r>
            <w:r w:rsidRPr="00E25D5A">
              <w:rPr>
                <w:rFonts w:ascii="仿宋_GB2312" w:eastAsia="仿宋_GB2312" w:hAnsi="黑体" w:hint="eastAsia"/>
                <w:color w:val="000000" w:themeColor="text1"/>
                <w:sz w:val="18"/>
                <w:szCs w:val="18"/>
              </w:rPr>
              <w:t>，恒大水世界项目已落户胶州并开工建设。</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②</w:t>
            </w:r>
            <w:r w:rsidRPr="00E25D5A">
              <w:rPr>
                <w:rFonts w:ascii="仿宋_GB2312" w:eastAsia="仿宋_GB2312" w:hAnsi="黑体" w:hint="eastAsia"/>
                <w:color w:val="000000" w:themeColor="text1"/>
                <w:sz w:val="18"/>
                <w:szCs w:val="18"/>
              </w:rPr>
              <w:t>举办2020青岛文旅重点项目集中签约暨路演峰会，王清宪书记出席活动。全市单体投资5000万元以上的重点文旅项目共128个，总投资额超过4000亿元。西班牙福赛酒店、温泉小镇、华道资本音赞中国、中歌世纪、中科院康养旅游基地等39个项目签约落地。</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③</w:t>
            </w:r>
            <w:r w:rsidRPr="00E25D5A">
              <w:rPr>
                <w:rFonts w:ascii="仿宋_GB2312" w:eastAsia="仿宋_GB2312" w:hAnsi="黑体" w:hint="eastAsia"/>
                <w:color w:val="000000" w:themeColor="text1"/>
                <w:sz w:val="18"/>
                <w:szCs w:val="18"/>
              </w:rPr>
              <w:t>聘请10位政、商、娱界代表为“青岛文旅全球招商推广大使”，推进社会化招商。依托春光里产投生态综合体，打造了集商务办公、创投活动、企业服务、创意孵化、招商洽谈于一体的“青岛文旅会客厅”。</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④</w:t>
            </w:r>
            <w:r w:rsidRPr="00E25D5A">
              <w:rPr>
                <w:rFonts w:ascii="仿宋_GB2312" w:eastAsia="仿宋_GB2312" w:hAnsi="黑体" w:hint="eastAsia"/>
                <w:color w:val="000000" w:themeColor="text1"/>
                <w:sz w:val="18"/>
                <w:szCs w:val="18"/>
              </w:rPr>
              <w:t>新成立了文旅行业协会5个，分别是青岛市芭蕾舞学会 、青岛市影视制片人协会、青岛市网红协会、青岛市旅游商品与装备协会 、青岛市普洱茶收藏与鉴赏协会。目前我局主管的文化旅游类社会团体共有56个。</w:t>
            </w:r>
          </w:p>
          <w:p w:rsidR="00E25D5A" w:rsidRPr="00E25D5A" w:rsidRDefault="00E25D5A" w:rsidP="00A41C90">
            <w:pPr>
              <w:spacing w:line="300" w:lineRule="exact"/>
              <w:ind w:firstLineChars="200" w:firstLine="360"/>
              <w:rPr>
                <w:rFonts w:ascii="仿宋_GB2312" w:eastAsia="仿宋_GB2312" w:hAnsi="微软雅黑"/>
                <w:color w:val="000000" w:themeColor="text1"/>
                <w:sz w:val="18"/>
                <w:szCs w:val="18"/>
              </w:rPr>
            </w:pPr>
            <w:r w:rsidRPr="00E25D5A">
              <w:rPr>
                <w:rFonts w:ascii="仿宋_GB2312" w:eastAsia="仿宋_GB2312" w:hAnsi="黑体" w:cs="仿宋_GB2312" w:hint="eastAsia"/>
                <w:color w:val="000000" w:themeColor="text1"/>
                <w:sz w:val="18"/>
                <w:szCs w:val="18"/>
              </w:rPr>
              <w:t>⑤</w:t>
            </w:r>
            <w:r w:rsidRPr="00E25D5A">
              <w:rPr>
                <w:rFonts w:ascii="仿宋_GB2312" w:eastAsia="仿宋_GB2312" w:hAnsi="黑体" w:hint="eastAsia"/>
                <w:color w:val="000000" w:themeColor="text1"/>
                <w:sz w:val="18"/>
                <w:szCs w:val="18"/>
              </w:rPr>
              <w:t>与海尔集团签订合作协议，共同打造青岛智慧文旅平台，建设文化和旅游公共服务平台。</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⑥</w:t>
            </w:r>
            <w:r w:rsidRPr="00E25D5A">
              <w:rPr>
                <w:rFonts w:ascii="仿宋_GB2312" w:eastAsia="仿宋_GB2312" w:hAnsi="黑体" w:cs="仿宋_GB2312" w:hint="eastAsia"/>
                <w:color w:val="000000" w:themeColor="text1"/>
                <w:sz w:val="18"/>
                <w:szCs w:val="18"/>
              </w:rPr>
              <w:t>积极发展</w:t>
            </w:r>
            <w:r w:rsidRPr="00E25D5A">
              <w:rPr>
                <w:rFonts w:ascii="仿宋_GB2312" w:eastAsia="仿宋_GB2312" w:hAnsi="仿宋_GB2312" w:cs="仿宋_GB2312" w:hint="eastAsia"/>
                <w:color w:val="000000" w:themeColor="text1"/>
                <w:sz w:val="18"/>
                <w:szCs w:val="18"/>
              </w:rPr>
              <w:t>航空旅游、房车营地、研学旅游、工业旅游等业态</w:t>
            </w:r>
            <w:r w:rsidRPr="00E25D5A">
              <w:rPr>
                <w:rFonts w:ascii="仿宋_GB2312" w:eastAsia="仿宋_GB2312" w:hAnsi="黑体" w:hint="eastAsia"/>
                <w:color w:val="000000" w:themeColor="text1"/>
                <w:sz w:val="18"/>
                <w:szCs w:val="18"/>
              </w:rPr>
              <w:t>，推动成立航空旅游联合会，对1家房车营地进行奖补，获2020首届省研学旅行线路大赛优秀组织奖，我市推荐申报的17个研学旅游项目获奖，2家基地入选省级工业旅游示范基地。中国首个网红经济科技创新产业园、天空之橙项目在市北区签约落地。</w:t>
            </w:r>
          </w:p>
        </w:tc>
      </w:tr>
      <w:tr w:rsidR="00E25D5A" w:rsidRPr="008A2282" w:rsidTr="00E25D5A">
        <w:trPr>
          <w:jc w:val="center"/>
        </w:trPr>
        <w:tc>
          <w:tcPr>
            <w:tcW w:w="649" w:type="dxa"/>
            <w:vMerge/>
            <w:vAlign w:val="center"/>
          </w:tcPr>
          <w:p w:rsidR="00E25D5A" w:rsidRPr="008A2282" w:rsidRDefault="00E25D5A" w:rsidP="00A41C90">
            <w:pPr>
              <w:spacing w:line="260" w:lineRule="exact"/>
              <w:jc w:val="center"/>
              <w:rPr>
                <w:rFonts w:ascii="楷体_GB2312" w:eastAsia="楷体_GB2312" w:hAnsi="宋体"/>
                <w:color w:val="000000" w:themeColor="text1"/>
                <w:kern w:val="0"/>
                <w:sz w:val="24"/>
              </w:rPr>
            </w:pP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t>6</w:t>
            </w:r>
          </w:p>
        </w:tc>
        <w:tc>
          <w:tcPr>
            <w:tcW w:w="1559" w:type="dxa"/>
            <w:vAlign w:val="center"/>
          </w:tcPr>
          <w:p w:rsidR="00E25D5A" w:rsidRPr="00E25D5A" w:rsidRDefault="00E25D5A" w:rsidP="00A41C90">
            <w:pPr>
              <w:spacing w:line="320" w:lineRule="exac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加快基础设施建设，提升文化旅游公共服务水平</w:t>
            </w:r>
          </w:p>
        </w:tc>
        <w:tc>
          <w:tcPr>
            <w:tcW w:w="6237" w:type="dxa"/>
            <w:vAlign w:val="center"/>
          </w:tcPr>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t>目标内容：</w:t>
            </w:r>
            <w:r w:rsidRPr="00E25D5A">
              <w:rPr>
                <w:rFonts w:ascii="仿宋_GB2312" w:eastAsia="仿宋_GB2312" w:hAnsi="仿宋_GB2312" w:cs="仿宋_GB2312" w:hint="eastAsia"/>
                <w:color w:val="000000" w:themeColor="text1"/>
                <w:sz w:val="18"/>
                <w:szCs w:val="18"/>
              </w:rPr>
              <w:t>①加强顶层设计。启动旅游业“十四五”规划编制工作，尽早出台《青岛市旅游民宿管理办法》；②实现全市重大文化设施建设突破。加快推进市博物馆改扩建项目，完成项目建议书编制、立项调整、可研、初步设计、项目概算及招投标等工作，争取年内早日开工；协调做好市图书馆新馆选址，加快推进项目立项等前期工作，为项目开工奠定坚实基础；③开展公共文化和旅游服务机构功能融合试点。力争我市1-2个项目入选文化和旅游部试点；④完善图书馆、文化馆服务体系。在镇（街道）和村（社区）建立分馆和基层服务点；⑤打造城乡文化服务品牌。实施村镇文化设施标准化创建，组织举办欢乐青岛广场周周演、“青岛夜色美”街头艺术汇等系列文化活动；举办“乡村文化艺术节”、“艺术彩虹”文化志愿服务村村行等面向农村农民的专题文化节庆活动，组织送戏下乡文化惠民演出；建设乡村</w:t>
            </w:r>
            <w:r w:rsidRPr="00E25D5A">
              <w:rPr>
                <w:rFonts w:ascii="仿宋_GB2312" w:eastAsia="仿宋_GB2312" w:hAnsi="仿宋_GB2312" w:cs="仿宋_GB2312" w:hint="eastAsia"/>
                <w:color w:val="000000" w:themeColor="text1"/>
                <w:sz w:val="18"/>
                <w:szCs w:val="18"/>
              </w:rPr>
              <w:lastRenderedPageBreak/>
              <w:t>记忆博物馆；省民生工作群众满意度文化生活领域我市得分超过去年；⑥探索群众文化服务新模式，试点打造一批“荟文化</w:t>
            </w:r>
            <w:r w:rsidRPr="00E25D5A">
              <w:rPr>
                <w:rFonts w:ascii="仿宋_GB2312" w:eastAsia="微软雅黑" w:hAnsi="微软雅黑" w:cs="微软雅黑" w:hint="eastAsia"/>
                <w:color w:val="000000" w:themeColor="text1"/>
                <w:sz w:val="18"/>
                <w:szCs w:val="18"/>
              </w:rPr>
              <w:t>•</w:t>
            </w:r>
            <w:r w:rsidRPr="00E25D5A">
              <w:rPr>
                <w:rFonts w:ascii="仿宋_GB2312" w:eastAsia="仿宋_GB2312" w:hAnsi="仿宋_GB2312" w:cs="仿宋_GB2312" w:hint="eastAsia"/>
                <w:color w:val="000000" w:themeColor="text1"/>
                <w:sz w:val="18"/>
                <w:szCs w:val="18"/>
              </w:rPr>
              <w:t>悦生活”小区文化集市；⑦继续开展厕所革命，新建、改建旅游厕所120座。</w:t>
            </w:r>
          </w:p>
          <w:p w:rsidR="00E25D5A" w:rsidRPr="00E25D5A" w:rsidRDefault="00E25D5A" w:rsidP="00A41C90">
            <w:pPr>
              <w:spacing w:line="300" w:lineRule="exact"/>
              <w:ind w:firstLineChars="200" w:firstLine="361"/>
              <w:rPr>
                <w:rFonts w:ascii="仿宋_GB2312" w:eastAsia="仿宋_GB2312" w:hAnsi="黑体"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完成情况综述</w:t>
            </w:r>
            <w:r w:rsidRPr="00E25D5A">
              <w:rPr>
                <w:rFonts w:ascii="仿宋_GB2312" w:eastAsia="仿宋_GB2312" w:hAnsi="黑体" w:cs="仿宋_GB2312" w:hint="eastAsia"/>
                <w:color w:val="000000" w:themeColor="text1"/>
                <w:sz w:val="18"/>
                <w:szCs w:val="18"/>
              </w:rPr>
              <w:t>：①</w:t>
            </w:r>
            <w:r w:rsidRPr="00E25D5A">
              <w:rPr>
                <w:rFonts w:ascii="仿宋_GB2312" w:eastAsia="仿宋_GB2312" w:hAnsi="黑体" w:hint="eastAsia"/>
                <w:color w:val="000000" w:themeColor="text1"/>
                <w:sz w:val="18"/>
                <w:szCs w:val="18"/>
              </w:rPr>
              <w:t>旅游业“十四五”规划已经起草完毕，正在征求意见，近日即可出台；《青岛市旅游民宿管理办法》已起草完毕，正由司法部门做合法性审查，近期可出台。</w:t>
            </w:r>
          </w:p>
          <w:p w:rsidR="00E25D5A" w:rsidRPr="00E25D5A" w:rsidRDefault="00E25D5A" w:rsidP="00A41C90">
            <w:pPr>
              <w:spacing w:line="300" w:lineRule="exact"/>
              <w:ind w:firstLine="48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②</w:t>
            </w:r>
            <w:r w:rsidRPr="00E25D5A">
              <w:rPr>
                <w:rFonts w:ascii="仿宋_GB2312" w:eastAsia="仿宋_GB2312" w:hAnsi="仿宋_GB2312" w:cs="仿宋_GB2312" w:hint="eastAsia"/>
                <w:color w:val="000000" w:themeColor="text1"/>
                <w:sz w:val="18"/>
                <w:szCs w:val="18"/>
              </w:rPr>
              <w:t>完成博物馆项目建议书编制、立项调整、可研、初步设计、项目概算及招投标等工作</w:t>
            </w:r>
            <w:r w:rsidRPr="00E25D5A">
              <w:rPr>
                <w:rFonts w:ascii="仿宋_GB2312" w:eastAsia="仿宋_GB2312" w:hAnsi="宋体" w:hint="eastAsia"/>
                <w:color w:val="000000" w:themeColor="text1"/>
                <w:sz w:val="18"/>
                <w:szCs w:val="18"/>
              </w:rPr>
              <w:t>，近日即可动工建设。完成《</w:t>
            </w:r>
            <w:r w:rsidRPr="00E25D5A">
              <w:rPr>
                <w:rFonts w:ascii="仿宋_GB2312" w:eastAsia="仿宋_GB2312" w:hAnsi="黑体" w:hint="eastAsia"/>
                <w:color w:val="000000" w:themeColor="text1"/>
                <w:sz w:val="18"/>
                <w:szCs w:val="18"/>
              </w:rPr>
              <w:t>青岛市图书馆新馆建设项目规划选址报告</w:t>
            </w:r>
            <w:r w:rsidRPr="00E25D5A">
              <w:rPr>
                <w:rFonts w:ascii="仿宋_GB2312" w:eastAsia="仿宋_GB2312" w:hAnsi="宋体" w:hint="eastAsia"/>
                <w:color w:val="000000" w:themeColor="text1"/>
                <w:sz w:val="18"/>
                <w:szCs w:val="18"/>
              </w:rPr>
              <w:t>》，提出选址意见，并联合市国土资源和规划局向市政府书面报告。</w:t>
            </w:r>
          </w:p>
          <w:p w:rsidR="00E25D5A" w:rsidRPr="00E25D5A" w:rsidRDefault="00E25D5A" w:rsidP="00A41C90">
            <w:pPr>
              <w:spacing w:line="300" w:lineRule="exact"/>
              <w:ind w:firstLineChars="200" w:firstLine="360"/>
              <w:rPr>
                <w:rFonts w:ascii="仿宋_GB2312" w:eastAsia="仿宋_GB2312" w:hAnsi="黑体"/>
                <w:color w:val="000000" w:themeColor="text1"/>
                <w:sz w:val="18"/>
                <w:szCs w:val="18"/>
              </w:rPr>
            </w:pPr>
            <w:r w:rsidRPr="00E25D5A">
              <w:rPr>
                <w:rFonts w:ascii="仿宋_GB2312" w:eastAsia="仿宋_GB2312" w:hAnsi="黑体" w:hint="eastAsia"/>
                <w:color w:val="000000" w:themeColor="text1"/>
                <w:sz w:val="18"/>
                <w:szCs w:val="18"/>
              </w:rPr>
              <w:t>③青岛（奥帆中心）旅游信息咨询中心等24个单位公布为市级试点单位，城阳区惜福镇街道青峰社区综合文化服务中心入选了山东省级试点，西海岸新区图书馆、崂山游客服务中心入选文化和旅游部试点单位。</w:t>
            </w:r>
          </w:p>
          <w:p w:rsidR="00E25D5A" w:rsidRPr="00E25D5A" w:rsidRDefault="00E25D5A" w:rsidP="00A41C90">
            <w:pPr>
              <w:spacing w:line="300" w:lineRule="exact"/>
              <w:ind w:firstLineChars="200" w:firstLine="360"/>
              <w:rPr>
                <w:rFonts w:ascii="仿宋_GB2312" w:eastAsia="仿宋_GB2312" w:hAnsi="黑体"/>
                <w:color w:val="000000" w:themeColor="text1"/>
                <w:sz w:val="18"/>
                <w:szCs w:val="18"/>
              </w:rPr>
            </w:pPr>
            <w:r w:rsidRPr="00E25D5A">
              <w:rPr>
                <w:rFonts w:ascii="仿宋_GB2312" w:eastAsia="仿宋_GB2312" w:hAnsi="黑体" w:hint="eastAsia"/>
                <w:color w:val="000000" w:themeColor="text1"/>
                <w:sz w:val="18"/>
                <w:szCs w:val="18"/>
              </w:rPr>
              <w:t>④推进公共图书馆、文化馆总分馆制，在镇（街道）和村（社区）建立分馆和基层服务点，全市累计建成文化馆分馆153个、图书馆分馆208个、基层服务点5000多个。</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hint="eastAsia"/>
                <w:color w:val="000000" w:themeColor="text1"/>
                <w:sz w:val="18"/>
                <w:szCs w:val="18"/>
              </w:rPr>
              <w:t>⑤落实《青岛市村（社区）综合文化服务中心建设与服务规范（试行）》，评选命名了21处村（社区）综合性文化服务中心标准化建设示范点。举办欢乐青岛广场周周演、“青岛夜色美”街头艺术汇等系列文化活动，举办了“乡村文化艺术节”“艺术彩虹”文化志愿服务村村行等面向农村农民的专题文化节庆活动。建设乡村记忆博物馆2家。在我市民情分析评价中，文化生活领域得分较去年提升2.27分。</w:t>
            </w:r>
          </w:p>
          <w:p w:rsidR="00E25D5A" w:rsidRPr="00E25D5A" w:rsidRDefault="00E25D5A" w:rsidP="00A41C90">
            <w:pPr>
              <w:spacing w:line="300" w:lineRule="exact"/>
              <w:ind w:firstLineChars="200" w:firstLine="360"/>
              <w:rPr>
                <w:rFonts w:ascii="仿宋_GB2312" w:eastAsia="仿宋_GB2312" w:hAnsi="黑体"/>
                <w:color w:val="000000" w:themeColor="text1"/>
                <w:sz w:val="18"/>
                <w:szCs w:val="18"/>
              </w:rPr>
            </w:pPr>
            <w:r w:rsidRPr="00E25D5A">
              <w:rPr>
                <w:rFonts w:ascii="仿宋_GB2312" w:eastAsia="仿宋_GB2312" w:hAnsi="仿宋_GB2312" w:cs="仿宋_GB2312" w:hint="eastAsia"/>
                <w:color w:val="000000" w:themeColor="text1"/>
                <w:sz w:val="18"/>
                <w:szCs w:val="18"/>
              </w:rPr>
              <w:t>⑥</w:t>
            </w:r>
            <w:r w:rsidRPr="00E25D5A">
              <w:rPr>
                <w:rFonts w:ascii="仿宋_GB2312" w:eastAsia="仿宋_GB2312" w:hAnsi="黑体" w:hint="eastAsia"/>
                <w:color w:val="000000" w:themeColor="text1"/>
                <w:sz w:val="18"/>
                <w:szCs w:val="18"/>
              </w:rPr>
              <w:t>举办了“荟文化·悦生活”小区文化集市活动，在20多个办事处及社区广场举办文化集市43场。</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⑦</w:t>
            </w:r>
            <w:r w:rsidRPr="00E25D5A">
              <w:rPr>
                <w:rFonts w:ascii="仿宋_GB2312" w:eastAsia="仿宋_GB2312" w:hAnsi="黑体" w:hint="eastAsia"/>
                <w:color w:val="000000" w:themeColor="text1"/>
                <w:sz w:val="18"/>
                <w:szCs w:val="18"/>
              </w:rPr>
              <w:t>全市共新建、改建旅游厕所123座，其中政府投资29座，企业自筹资金建设94座，提高了旅游厕所建设质量和管理水平。</w:t>
            </w:r>
          </w:p>
        </w:tc>
      </w:tr>
      <w:tr w:rsidR="00E25D5A" w:rsidRPr="008A2282" w:rsidTr="00E25D5A">
        <w:trPr>
          <w:jc w:val="center"/>
        </w:trPr>
        <w:tc>
          <w:tcPr>
            <w:tcW w:w="649" w:type="dxa"/>
            <w:vMerge/>
            <w:vAlign w:val="center"/>
          </w:tcPr>
          <w:p w:rsidR="00E25D5A" w:rsidRPr="008A2282" w:rsidRDefault="00E25D5A" w:rsidP="00A41C90">
            <w:pPr>
              <w:spacing w:line="260" w:lineRule="exact"/>
              <w:jc w:val="center"/>
              <w:rPr>
                <w:rFonts w:ascii="楷体_GB2312" w:eastAsia="楷体_GB2312" w:hAnsi="宋体"/>
                <w:color w:val="000000" w:themeColor="text1"/>
                <w:sz w:val="24"/>
              </w:rPr>
            </w:pP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t>7</w:t>
            </w:r>
          </w:p>
        </w:tc>
        <w:tc>
          <w:tcPr>
            <w:tcW w:w="1559" w:type="dxa"/>
            <w:vAlign w:val="center"/>
          </w:tcPr>
          <w:p w:rsidR="00E25D5A" w:rsidRPr="00E25D5A" w:rsidRDefault="00E25D5A" w:rsidP="00A41C90">
            <w:pPr>
              <w:spacing w:line="320" w:lineRule="exact"/>
              <w:jc w:val="lef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加强文化遗产保护利用，打响滋养海洋文化根脉硬仗</w:t>
            </w:r>
          </w:p>
        </w:tc>
        <w:tc>
          <w:tcPr>
            <w:tcW w:w="6237" w:type="dxa"/>
            <w:vAlign w:val="center"/>
          </w:tcPr>
          <w:p w:rsidR="00E25D5A" w:rsidRPr="00E25D5A" w:rsidRDefault="00E25D5A" w:rsidP="00A41C90">
            <w:pPr>
              <w:spacing w:line="300" w:lineRule="exact"/>
              <w:ind w:firstLineChars="200" w:firstLine="361"/>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b/>
                <w:bCs/>
                <w:color w:val="000000" w:themeColor="text1"/>
                <w:sz w:val="18"/>
                <w:szCs w:val="18"/>
              </w:rPr>
              <w:t>目标内容：</w:t>
            </w:r>
            <w:r w:rsidRPr="00E25D5A">
              <w:rPr>
                <w:rFonts w:ascii="仿宋_GB2312" w:eastAsia="仿宋_GB2312" w:hAnsi="仿宋_GB2312" w:cs="仿宋_GB2312" w:hint="eastAsia"/>
                <w:color w:val="000000" w:themeColor="text1"/>
                <w:sz w:val="18"/>
                <w:szCs w:val="18"/>
              </w:rPr>
              <w:t>①深入挖掘海洋文化根脉。开展琅琊台遗址考古发掘、金口港遗址考古调差勘探工作,配合国家文物局开展胶州湾水下考古调查;②加大革命文物保护力度。推动出台《青岛市革命文物保护利用工程的实施意见》，公布青岛市第一批革命文物名录，实施革命旧址维修保护计划，做好青即战役旧址历史遗存调查保护；③加大青岛老城区申报世界文化遗产宣传工作力度，组织编制《青岛老城区申报世界文化遗产预备名录文本》；④持续推进博物馆城建设。全年新增博物馆5家以上，全市博物馆总数超过105家以上，力争在全省博物馆精品陈列展览项评选中取得佳绩；⑤加强非遗保护传承，开展系列活动。</w:t>
            </w:r>
          </w:p>
          <w:p w:rsidR="00E25D5A" w:rsidRPr="00E25D5A" w:rsidRDefault="00E25D5A" w:rsidP="00A41C90">
            <w:pPr>
              <w:spacing w:line="300" w:lineRule="exact"/>
              <w:ind w:firstLineChars="200" w:firstLine="361"/>
              <w:rPr>
                <w:rFonts w:ascii="仿宋_GB2312" w:eastAsia="仿宋_GB2312" w:hAnsi="黑体"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完成情况综述：</w:t>
            </w:r>
            <w:r w:rsidRPr="00E25D5A">
              <w:rPr>
                <w:rFonts w:ascii="仿宋_GB2312" w:eastAsia="仿宋_GB2312" w:hAnsi="黑体" w:cs="仿宋_GB2312" w:hint="eastAsia"/>
                <w:color w:val="000000" w:themeColor="text1"/>
                <w:sz w:val="18"/>
                <w:szCs w:val="18"/>
              </w:rPr>
              <w:t>①</w:t>
            </w:r>
            <w:r w:rsidRPr="00E25D5A">
              <w:rPr>
                <w:rFonts w:ascii="仿宋_GB2312" w:eastAsia="仿宋_GB2312" w:hint="eastAsia"/>
                <w:color w:val="000000" w:themeColor="text1"/>
                <w:sz w:val="18"/>
                <w:szCs w:val="18"/>
              </w:rPr>
              <w:t>开展了琅琊台遗址2020年度考古发掘、金口港遗址考古调查勘探和胶州湾外围海域水下文化遗产考古调查，在大公岛南部海域确认1处一战时期沉舰遗址。</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②</w:t>
            </w:r>
            <w:r w:rsidRPr="00E25D5A">
              <w:rPr>
                <w:rFonts w:ascii="仿宋_GB2312" w:eastAsia="仿宋_GB2312" w:hint="eastAsia"/>
                <w:color w:val="000000" w:themeColor="text1"/>
                <w:sz w:val="18"/>
                <w:szCs w:val="18"/>
              </w:rPr>
              <w:t>出台了《青岛市革命文物保护利用工程的实施意见》，公布了青岛市第一批革命文物名录，实施革命旧址维修保护计划，开展青即战役旧址历史遗存调查保护，完成青即战役旧址历史遗存调查报告。</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③</w:t>
            </w:r>
            <w:r w:rsidRPr="00E25D5A">
              <w:rPr>
                <w:rFonts w:ascii="仿宋_GB2312" w:eastAsia="仿宋_GB2312" w:hint="eastAsia"/>
                <w:color w:val="000000" w:themeColor="text1"/>
                <w:sz w:val="18"/>
                <w:szCs w:val="18"/>
              </w:rPr>
              <w:t>青岛日报发布申遗专版报道，在微信公众号发布青岛城市文化及历史建筑相关的推送10余篇，举办了《青岛老城区申报世界文化遗产展</w:t>
            </w:r>
            <w:r w:rsidRPr="00E25D5A">
              <w:rPr>
                <w:rFonts w:ascii="仿宋_GB2312" w:eastAsia="微软雅黑" w:hAnsi="微软雅黑" w:cs="微软雅黑" w:hint="eastAsia"/>
                <w:color w:val="000000" w:themeColor="text1"/>
                <w:sz w:val="18"/>
                <w:szCs w:val="18"/>
              </w:rPr>
              <w:t>•</w:t>
            </w:r>
            <w:r w:rsidRPr="00E25D5A">
              <w:rPr>
                <w:rFonts w:ascii="仿宋_GB2312" w:eastAsia="仿宋_GB2312" w:hint="eastAsia"/>
                <w:color w:val="000000" w:themeColor="text1"/>
                <w:sz w:val="18"/>
                <w:szCs w:val="18"/>
              </w:rPr>
              <w:t>序篇——</w:t>
            </w:r>
            <w:r w:rsidRPr="00E25D5A">
              <w:rPr>
                <w:rFonts w:ascii="仿宋_GB2312" w:eastAsia="仿宋_GB2312" w:hint="eastAsia"/>
                <w:color w:val="000000" w:themeColor="text1"/>
                <w:sz w:val="18"/>
                <w:szCs w:val="18"/>
              </w:rPr>
              <w:lastRenderedPageBreak/>
              <w:t>青岛文物保护建筑摄影展》。完成《青岛老城区申报世界文化遗产预备名录文本》编制。开展青岛老城区申遗的专题调研研讨和考察学习考察，举办了青岛老城区遗产价值与申遗研讨会暨青岛申遗工作培训会议</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④新增博物馆6家，我市“博物馆之城”建设荣获第四届省文化创新奖。在全省博物馆精品陈列展览项评选中，3家博物馆馆分获全省“十大精品奖”“十大优秀奖”，市文旅局获“优秀组织奖”。</w:t>
            </w:r>
          </w:p>
          <w:p w:rsidR="00E25D5A" w:rsidRPr="00E25D5A" w:rsidRDefault="00E25D5A" w:rsidP="00A41C90">
            <w:pPr>
              <w:spacing w:line="300" w:lineRule="exact"/>
              <w:ind w:firstLine="42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⑤</w:t>
            </w:r>
            <w:r w:rsidRPr="00E25D5A">
              <w:rPr>
                <w:rFonts w:ascii="仿宋_GB2312" w:eastAsia="仿宋_GB2312" w:hint="eastAsia"/>
                <w:color w:val="000000" w:themeColor="text1"/>
                <w:sz w:val="18"/>
                <w:szCs w:val="18"/>
              </w:rPr>
              <w:t>认定公布第四批市级非遗传承人31人，开展“非遗月”“文化和自然遗产日”及非遗“进校园”系列活动，举办文化惠民非遗创意大集，牵头“一十百千万”文旅嘉年华活动，举办“好客山东·时尚青岛”十大门类非遗展演等。</w:t>
            </w:r>
          </w:p>
        </w:tc>
      </w:tr>
      <w:tr w:rsidR="00E25D5A" w:rsidRPr="008A2282" w:rsidTr="00E25D5A">
        <w:trPr>
          <w:jc w:val="center"/>
        </w:trPr>
        <w:tc>
          <w:tcPr>
            <w:tcW w:w="649" w:type="dxa"/>
            <w:vAlign w:val="center"/>
          </w:tcPr>
          <w:p w:rsidR="00E25D5A" w:rsidRPr="008A2282" w:rsidRDefault="00E25D5A" w:rsidP="00A41C90">
            <w:pPr>
              <w:jc w:val="center"/>
              <w:rPr>
                <w:rFonts w:ascii="楷体_GB2312" w:eastAsia="楷体_GB2312" w:hAnsi="宋体"/>
                <w:color w:val="000000" w:themeColor="text1"/>
                <w:sz w:val="24"/>
              </w:rPr>
            </w:pPr>
            <w:r w:rsidRPr="008A2282">
              <w:rPr>
                <w:rFonts w:ascii="楷体_GB2312" w:eastAsia="楷体_GB2312" w:hAnsi="宋体" w:hint="eastAsia"/>
                <w:color w:val="000000" w:themeColor="text1"/>
                <w:sz w:val="24"/>
              </w:rPr>
              <w:lastRenderedPageBreak/>
              <w:t>创优目标</w:t>
            </w:r>
          </w:p>
        </w:tc>
        <w:tc>
          <w:tcPr>
            <w:tcW w:w="851" w:type="dxa"/>
            <w:vAlign w:val="center"/>
          </w:tcPr>
          <w:p w:rsidR="00E25D5A" w:rsidRPr="008A2282" w:rsidRDefault="00E25D5A" w:rsidP="00A41C90">
            <w:pPr>
              <w:spacing w:line="320" w:lineRule="exact"/>
              <w:jc w:val="center"/>
              <w:rPr>
                <w:rFonts w:ascii="仿宋_GB2312" w:eastAsia="仿宋_GB2312" w:hAnsi="宋体"/>
                <w:color w:val="000000" w:themeColor="text1"/>
                <w:sz w:val="28"/>
                <w:szCs w:val="28"/>
              </w:rPr>
            </w:pPr>
            <w:r w:rsidRPr="008A2282">
              <w:rPr>
                <w:rFonts w:ascii="仿宋_GB2312" w:eastAsia="仿宋_GB2312" w:hAnsi="宋体" w:hint="eastAsia"/>
                <w:color w:val="000000" w:themeColor="text1"/>
                <w:sz w:val="28"/>
                <w:szCs w:val="28"/>
              </w:rPr>
              <w:t>1</w:t>
            </w:r>
          </w:p>
        </w:tc>
        <w:tc>
          <w:tcPr>
            <w:tcW w:w="1559" w:type="dxa"/>
            <w:vAlign w:val="center"/>
          </w:tcPr>
          <w:p w:rsidR="00E25D5A" w:rsidRPr="00E25D5A" w:rsidRDefault="00E25D5A" w:rsidP="00A41C90">
            <w:pPr>
              <w:spacing w:line="320" w:lineRule="exact"/>
              <w:ind w:rightChars="43" w:right="90"/>
              <w:jc w:val="left"/>
              <w:rPr>
                <w:rFonts w:ascii="仿宋_GB2312" w:eastAsia="仿宋_GB2312" w:hAnsi="仿宋_GB2312" w:cs="仿宋_GB2312"/>
                <w:color w:val="000000" w:themeColor="text1"/>
                <w:sz w:val="18"/>
                <w:szCs w:val="18"/>
              </w:rPr>
            </w:pPr>
            <w:r w:rsidRPr="00E25D5A">
              <w:rPr>
                <w:rFonts w:ascii="仿宋_GB2312" w:eastAsia="仿宋_GB2312" w:hAnsi="仿宋_GB2312" w:cs="仿宋_GB2312" w:hint="eastAsia"/>
                <w:color w:val="000000" w:themeColor="text1"/>
                <w:sz w:val="18"/>
                <w:szCs w:val="18"/>
              </w:rPr>
              <w:t>推进胶东经济圈文化旅游一体化,招引影响力大、辐射力强的大型文旅融合项目</w:t>
            </w:r>
          </w:p>
        </w:tc>
        <w:tc>
          <w:tcPr>
            <w:tcW w:w="6237" w:type="dxa"/>
            <w:vAlign w:val="center"/>
          </w:tcPr>
          <w:p w:rsidR="00E25D5A" w:rsidRPr="00E25D5A" w:rsidRDefault="00E25D5A" w:rsidP="00A41C90">
            <w:pPr>
              <w:spacing w:line="300" w:lineRule="exact"/>
              <w:ind w:firstLineChars="200" w:firstLine="361"/>
              <w:rPr>
                <w:rFonts w:ascii="仿宋_GB2312" w:eastAsia="仿宋_GB2312" w:hAnsi="黑体"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目标内容：</w:t>
            </w:r>
            <w:r w:rsidRPr="00E25D5A">
              <w:rPr>
                <w:rFonts w:ascii="仿宋_GB2312" w:eastAsia="仿宋_GB2312" w:hAnsi="黑体" w:cs="仿宋_GB2312" w:hint="eastAsia"/>
                <w:color w:val="000000" w:themeColor="text1"/>
                <w:sz w:val="18"/>
                <w:szCs w:val="18"/>
              </w:rPr>
              <w:t>贯彻落实省委、省政府关于加快胶东经济圈一体化发展部署要求，主动担当作为，推动“胶东经济圈一体化文旅先行”，在全市率先启动相关工作，力争实现“创新、创意、创造”。策划举办胶东经济圈文化旅游合作联盟成立大会，牵头成立胶东经济圈文化旅游合作联盟；推动五市签署《胶东经济圈文化旅游一体化高质量发展合作框架协议》，在联合推进旅游市场营销、特色旅游产品打造、文旅产业项目、文旅公共服务、对外文化交流5大领域形成合作共识；推出“胶东有礼”等一体化品牌，打造胶东文创和旅游商品体系；会同胶东五市共同打造一体化旅游产品，开展联合营销推广活动，带动胶东五市文化旅游市场融合发展，加快推进胶东经济圈文化旅游一体化进程。发挥青岛的牵头带动作用，推进华侨城莲花山、东方伊甸园等产业链长、辐射胶东五市的文旅融合大项目签约、落地；</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标杆城市及标杆值：上海及长三角城市群。打造具有全国影响力的区域文旅品牌。</w:t>
            </w:r>
          </w:p>
          <w:p w:rsidR="00E25D5A" w:rsidRPr="00E25D5A" w:rsidRDefault="00E25D5A" w:rsidP="00A41C90">
            <w:pPr>
              <w:spacing w:line="300" w:lineRule="exact"/>
              <w:ind w:firstLineChars="200" w:firstLine="361"/>
              <w:rPr>
                <w:rFonts w:ascii="仿宋_GB2312" w:eastAsia="仿宋_GB2312" w:hAnsi="黑体" w:cs="仿宋_GB2312"/>
                <w:color w:val="000000" w:themeColor="text1"/>
                <w:sz w:val="18"/>
                <w:szCs w:val="18"/>
              </w:rPr>
            </w:pPr>
            <w:r w:rsidRPr="00E25D5A">
              <w:rPr>
                <w:rFonts w:ascii="仿宋_GB2312" w:eastAsia="仿宋_GB2312" w:hAnsi="黑体" w:cs="仿宋_GB2312" w:hint="eastAsia"/>
                <w:b/>
                <w:bCs/>
                <w:color w:val="000000" w:themeColor="text1"/>
                <w:sz w:val="18"/>
                <w:szCs w:val="18"/>
              </w:rPr>
              <w:t>完成情况综述：</w:t>
            </w:r>
            <w:r w:rsidRPr="00E25D5A">
              <w:rPr>
                <w:rFonts w:ascii="仿宋_GB2312" w:eastAsia="仿宋_GB2312" w:hAnsi="黑体" w:cs="仿宋_GB2312" w:hint="eastAsia"/>
                <w:color w:val="000000" w:themeColor="text1"/>
                <w:sz w:val="18"/>
                <w:szCs w:val="18"/>
              </w:rPr>
              <w:t>发挥龙头作用，于“5·19”中国旅游日策划成立了胶东经济圈文化旅游合作联盟，联合烟台、潍坊、威海、日照四市签署了《胶东经济圈文化旅游一体化高质量发展合作框架协议》，联合推进旅游市场营销、特色旅游产品打造、文旅产业项目、文旅公共服务、对外文化交流5大领域27项合作；梳理胶东现有文化旅游商品资源，建立胶东有礼商品信息库，共创“胶东有礼”品牌；将“好客山东，海阔天空，青岛（烟台/潍坊/威海/日照）请您，来看胶东”作为胶东旅游宣传口号对外统一宣传推广。设计精品线路11条，组织全国旅行商赴五市开展“山海深呼吸，胶东健康游”线路采风，联合举办首届胶东“海洋童玩季”活动，先后在成都、重庆、上海举办了胶东五市推介活动，在胶东经济圈一体化（北京）推介大会上隆重进行胶东文化旅游推介，推广胶东滨海黄金旅游带；联合五市水下考古精英开展胶州湾、刘公岛海域等水下文化遗产勘探考古，收获丰富。共建胶东五市博物馆和非遗等资源共享平台。签订了胶东经济圈一体化发展市级文化馆、公共图书馆合作协议，建立了文化馆、公共图书馆联盟，开展广泛交流合作。组织五市旅游行业协会签订一体化合作协议、以平台思维联合五市开展云招商推介活动，建立“双招双引”信息资源共享机制，制作胶东文旅招商专题页面，通过宣传片、ppt等形式展示胶东经济圈招商形象和宣传胶东一体化营商环境，并在主流媒体专版专题宣传。华侨城莲花山、东方伊甸园等产业链长、辐射胶东的文旅融合大项目落地，借助青岛文旅重点项目集中签约暨路演峰会，与阳光控股、融创中国等世界500强企业签约，加快打造辐射胶东的标</w:t>
            </w:r>
            <w:r w:rsidRPr="00E25D5A">
              <w:rPr>
                <w:rFonts w:ascii="仿宋_GB2312" w:eastAsia="仿宋_GB2312" w:hAnsi="黑体" w:cs="仿宋_GB2312" w:hint="eastAsia"/>
                <w:color w:val="000000" w:themeColor="text1"/>
                <w:sz w:val="18"/>
                <w:szCs w:val="18"/>
              </w:rPr>
              <w:lastRenderedPageBreak/>
              <w:t>杆性文旅项目。</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创优性：该联盟对标长三角文化和旅游联盟，属于山东省首家区域性城市合作联盟。王清宪书记在联盟成立仪式上代表五城市现场签发《胶东五市致全国游客的信》，对联盟成立给予“创新、创意、创造”的评价；联盟成立后，市委专题会提出打造胶东旅游品牌，把胶东推向世界。“东方海岸·胶东半岛自驾游”线路入选文化和旅游部2020年度“中国之路”全国自驾游十大精品线路；“胶东海洋童玩季”活动入选省文旅厅“好客山东游品荟”典型案例，胶东文旅区域品牌效应初见成效。</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攻坚性：该项工作涉及5个城市，协调难度大，难点是如何建立有效合作机制，高效开展联盟合作，合力打造“胶东文旅品牌”：一是对标“长三角”，建立胶东五市文旅合作联盟，秘书处常设青岛，建立联席会议、联盟轮值、分工协作、信息提报等五项工作机制；二是打响“胶东牌”，研究提出胶东旅游宣传口号，梳理文化旅游商品资源，提升区域文旅品牌形象；三是吹响“集结号”，集结五市联合开展线路采风、成都、北京等系列旅游营销活动，扩大胶东文旅声量。</w:t>
            </w:r>
          </w:p>
          <w:p w:rsidR="00E25D5A" w:rsidRPr="00E25D5A" w:rsidRDefault="00E25D5A" w:rsidP="00A41C90">
            <w:pPr>
              <w:spacing w:line="300" w:lineRule="exact"/>
              <w:ind w:firstLineChars="200" w:firstLine="360"/>
              <w:rPr>
                <w:rFonts w:ascii="仿宋_GB2312" w:eastAsia="仿宋_GB2312" w:hAnsi="黑体" w:cs="仿宋_GB2312"/>
                <w:color w:val="000000" w:themeColor="text1"/>
                <w:sz w:val="18"/>
                <w:szCs w:val="18"/>
              </w:rPr>
            </w:pPr>
            <w:r w:rsidRPr="00E25D5A">
              <w:rPr>
                <w:rFonts w:ascii="仿宋_GB2312" w:eastAsia="仿宋_GB2312" w:hAnsi="黑体" w:cs="仿宋_GB2312" w:hint="eastAsia"/>
                <w:color w:val="000000" w:themeColor="text1"/>
                <w:sz w:val="18"/>
                <w:szCs w:val="18"/>
              </w:rPr>
              <w:t>创新性：是区域协调发展的有益探索，是打造区域发展共同体的有益尝试：一是制度创新。发挥青岛作为秘书处纽带作用，建立联盟联席会议和常态化联络协调制度，高效推进联盟合作；二是产品创新。挖掘胶东山、海、城等自然和人文旅游资源优势，联合推出自驾游、亲子游、海洋度假游、体育游、乡村游等特色旅游产品，提升胶东旅游产品吸引力；三是营销手段创新。充分利用互联网、大数据等手段，实施精准营销，针对年轻市场推出《一出好戏》胶东文旅音乐推广剧，针对自驾游群体推出“东方海岸”胶东自驾产品等。</w:t>
            </w:r>
          </w:p>
          <w:p w:rsidR="00E25D5A" w:rsidRPr="00E25D5A" w:rsidRDefault="00E25D5A" w:rsidP="00A41C90">
            <w:pPr>
              <w:spacing w:line="300" w:lineRule="exact"/>
              <w:ind w:firstLineChars="200" w:firstLine="360"/>
              <w:rPr>
                <w:rFonts w:ascii="仿宋_GB2312" w:eastAsia="仿宋_GB2312" w:hAnsi="仿宋_GB2312" w:cs="仿宋_GB2312"/>
                <w:color w:val="000000" w:themeColor="text1"/>
                <w:sz w:val="18"/>
                <w:szCs w:val="18"/>
              </w:rPr>
            </w:pPr>
            <w:r w:rsidRPr="00E25D5A">
              <w:rPr>
                <w:rFonts w:ascii="仿宋_GB2312" w:eastAsia="仿宋_GB2312" w:hAnsi="黑体" w:cs="仿宋_GB2312" w:hint="eastAsia"/>
                <w:color w:val="000000" w:themeColor="text1"/>
                <w:sz w:val="18"/>
                <w:szCs w:val="18"/>
              </w:rPr>
              <w:t>效益性：一是品牌影响力提升。通过一系列营销推广，胶东文旅品牌知名度显著提升，覆盖人群超1.2亿，阅读量超6000万；二是社会效益显著。成立了文化馆、图书馆等联盟，建立了博物馆和非遗资源共享机制，逐步夯实胶东文化资源惠民共享“大平台”；三是带动了文化旅游消费。通过美团、携程等平台，为胶东五市文旅企业搭建文旅惠民消费平台，吸引五市共约59万人次参与，直接带动消费8200余万元，相关间接消费近15亿元。</w:t>
            </w:r>
          </w:p>
        </w:tc>
      </w:tr>
    </w:tbl>
    <w:p w:rsidR="00EE0469" w:rsidRDefault="00EE0469" w:rsidP="00EE0469">
      <w:pPr>
        <w:pStyle w:val="1"/>
        <w:numPr>
          <w:ilvl w:val="0"/>
          <w:numId w:val="0"/>
        </w:numPr>
        <w:spacing w:line="520" w:lineRule="exact"/>
        <w:ind w:left="640"/>
        <w:rPr>
          <w:lang w:val="en-US"/>
        </w:rPr>
      </w:pPr>
      <w:r>
        <w:rPr>
          <w:rFonts w:hint="eastAsia"/>
          <w:lang w:val="en-US"/>
        </w:rPr>
        <w:lastRenderedPageBreak/>
        <w:t>二、评价工作基本情况</w:t>
      </w:r>
    </w:p>
    <w:p w:rsidR="00EE0469" w:rsidRDefault="00EE0469" w:rsidP="00EE0469">
      <w:pPr>
        <w:pStyle w:val="2"/>
        <w:numPr>
          <w:ilvl w:val="1"/>
          <w:numId w:val="2"/>
        </w:numPr>
        <w:spacing w:line="520" w:lineRule="exact"/>
        <w:ind w:left="0" w:firstLine="640"/>
        <w:rPr>
          <w:rFonts w:eastAsia="楷体_GB2312" w:cs="Times New Roman"/>
          <w:b w:val="0"/>
          <w:sz w:val="32"/>
          <w:lang w:val="en-US"/>
        </w:rPr>
      </w:pPr>
      <w:r>
        <w:rPr>
          <w:rFonts w:eastAsia="楷体_GB2312" w:cs="Times New Roman" w:hint="eastAsia"/>
          <w:b w:val="0"/>
          <w:sz w:val="32"/>
          <w:lang w:val="en-US"/>
        </w:rPr>
        <w:t>评价目的</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0"/>
          <w:szCs w:val="24"/>
        </w:rPr>
      </w:pPr>
      <w:r w:rsidRPr="0030272C">
        <w:rPr>
          <w:rFonts w:ascii="仿宋_GB2312" w:eastAsia="仿宋_GB2312" w:hAnsi="Times New Roman" w:cs="Times New Roman" w:hint="eastAsia"/>
          <w:sz w:val="32"/>
          <w:szCs w:val="32"/>
        </w:rPr>
        <w:t>依据青岛市文化和旅游局年初确定的整体绩效目标，通过梳理市文旅局的部门职能、部门管理等信息，统筹考虑资产和业务活动，从运行成本、管理效率、职责履行、履职效益等方面考察，对2020年青岛市文化和旅游局使用财政资金所实现的整体产出和效果开展绩效评价，衡量部门整体资</w:t>
      </w:r>
      <w:r w:rsidRPr="0030272C">
        <w:rPr>
          <w:rFonts w:ascii="仿宋_GB2312" w:eastAsia="仿宋_GB2312" w:hAnsi="Times New Roman" w:cs="Times New Roman" w:hint="eastAsia"/>
          <w:sz w:val="32"/>
          <w:szCs w:val="32"/>
        </w:rPr>
        <w:lastRenderedPageBreak/>
        <w:t>源配置的合理性、部门整体支出绩效目标完成情况及核心业务实施效果，客观反映本部门单位整体绩效水平，总结经验做法，找出部门管理和资金使用中的薄弱环节，提出建设性建议，进一步优化预算配置、健全预算资金管理制度，降低行政成本、提高部门履职效率和财政资金使用效益。</w:t>
      </w:r>
    </w:p>
    <w:p w:rsidR="00EE0469" w:rsidRDefault="00EE0469" w:rsidP="00EE0469">
      <w:pPr>
        <w:pStyle w:val="2"/>
        <w:numPr>
          <w:ilvl w:val="1"/>
          <w:numId w:val="2"/>
        </w:numPr>
        <w:spacing w:line="520" w:lineRule="exact"/>
        <w:ind w:left="0" w:firstLine="640"/>
        <w:rPr>
          <w:rFonts w:eastAsia="楷体_GB2312" w:cs="Times New Roman"/>
          <w:b w:val="0"/>
          <w:sz w:val="32"/>
          <w:lang w:val="en-US"/>
        </w:rPr>
      </w:pPr>
      <w:r>
        <w:rPr>
          <w:rFonts w:eastAsia="楷体_GB2312" w:cs="Times New Roman" w:hint="eastAsia"/>
          <w:b w:val="0"/>
          <w:sz w:val="32"/>
          <w:lang w:val="en-US"/>
        </w:rPr>
        <w:t>评价依据</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本次绩效评价依据《财政部关于印发&lt;预算绩效评价共性指标体系框架&gt;的通知》（财预〔2013〕53号）、《中共中央国务院关于全面实施预算绩效管理的意见》（中发〔2018〕34号）、《青岛市财政局关于印发&lt;市级财政绩效评价操作指南&gt;的通知》（青财绩〔2020〕6号）等文件，从部门整体支出评价的角度对部门整体及核心业务实施效果进行综合评价。</w:t>
      </w:r>
    </w:p>
    <w:p w:rsidR="00EE0469" w:rsidRDefault="00EE0469" w:rsidP="00EE0469">
      <w:pPr>
        <w:pStyle w:val="2"/>
        <w:numPr>
          <w:ilvl w:val="1"/>
          <w:numId w:val="2"/>
        </w:numPr>
        <w:spacing w:line="520" w:lineRule="exact"/>
        <w:ind w:left="0" w:firstLine="640"/>
        <w:rPr>
          <w:rFonts w:eastAsia="楷体_GB2312" w:cs="Times New Roman"/>
          <w:b w:val="0"/>
          <w:sz w:val="32"/>
          <w:lang w:val="en-US"/>
        </w:rPr>
      </w:pPr>
      <w:r>
        <w:rPr>
          <w:rFonts w:eastAsia="楷体_GB2312" w:cs="Times New Roman" w:hint="eastAsia"/>
          <w:b w:val="0"/>
          <w:sz w:val="32"/>
          <w:lang w:val="en-US"/>
        </w:rPr>
        <w:t>评价对象和资金范围</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评价对象为20</w:t>
      </w:r>
      <w:r w:rsidRPr="0030272C">
        <w:rPr>
          <w:rFonts w:ascii="仿宋_GB2312" w:eastAsia="仿宋_GB2312" w:hAnsi="Times New Roman" w:cs="Times New Roman" w:hint="eastAsia"/>
          <w:sz w:val="32"/>
          <w:szCs w:val="32"/>
        </w:rPr>
        <w:t>20</w:t>
      </w:r>
      <w:r w:rsidRPr="0030272C">
        <w:rPr>
          <w:rFonts w:ascii="仿宋_GB2312" w:eastAsia="仿宋_GB2312" w:hAnsi="Times New Roman" w:cs="Times New Roman"/>
          <w:sz w:val="32"/>
          <w:szCs w:val="32"/>
        </w:rPr>
        <w:t>年度青岛市文化和旅游局部门整体支出，资金范围为2</w:t>
      </w:r>
      <w:r w:rsidRPr="0030272C">
        <w:rPr>
          <w:rFonts w:ascii="仿宋_GB2312" w:eastAsia="仿宋_GB2312" w:hAnsi="Times New Roman" w:cs="Times New Roman" w:hint="eastAsia"/>
          <w:sz w:val="32"/>
          <w:szCs w:val="32"/>
        </w:rPr>
        <w:t>020</w:t>
      </w:r>
      <w:r w:rsidRPr="0030272C">
        <w:rPr>
          <w:rFonts w:ascii="仿宋_GB2312" w:eastAsia="仿宋_GB2312" w:hAnsi="Times New Roman" w:cs="Times New Roman"/>
          <w:sz w:val="32"/>
          <w:szCs w:val="32"/>
        </w:rPr>
        <w:t>年度青岛市文化和旅游局部门预算32034.78万元，其中，基本支出</w:t>
      </w:r>
      <w:r w:rsidRPr="0030272C">
        <w:rPr>
          <w:rFonts w:ascii="仿宋_GB2312" w:eastAsia="仿宋_GB2312" w:hAnsi="Times New Roman" w:cs="Times New Roman" w:hint="eastAsia"/>
          <w:sz w:val="32"/>
          <w:szCs w:val="32"/>
        </w:rPr>
        <w:t>19575.78</w:t>
      </w:r>
      <w:r w:rsidRPr="0030272C">
        <w:rPr>
          <w:rFonts w:ascii="仿宋_GB2312" w:eastAsia="仿宋_GB2312" w:hAnsi="Times New Roman" w:cs="Times New Roman"/>
          <w:sz w:val="32"/>
          <w:szCs w:val="32"/>
        </w:rPr>
        <w:t>万元，项目支出</w:t>
      </w:r>
      <w:r w:rsidRPr="0030272C">
        <w:rPr>
          <w:rFonts w:ascii="仿宋_GB2312" w:eastAsia="仿宋_GB2312" w:hAnsi="Times New Roman" w:cs="Times New Roman" w:hint="eastAsia"/>
          <w:sz w:val="32"/>
          <w:szCs w:val="32"/>
        </w:rPr>
        <w:t>12459</w:t>
      </w:r>
      <w:r w:rsidRPr="0030272C">
        <w:rPr>
          <w:rFonts w:ascii="仿宋_GB2312" w:eastAsia="仿宋_GB2312" w:hAnsi="Times New Roman" w:cs="Times New Roman"/>
          <w:sz w:val="32"/>
          <w:szCs w:val="32"/>
        </w:rPr>
        <w:t>万元。评价基准日为2019年12月31日。</w:t>
      </w:r>
    </w:p>
    <w:p w:rsidR="00EE0469" w:rsidRDefault="00EE0469" w:rsidP="00EE0469">
      <w:pPr>
        <w:pStyle w:val="2"/>
        <w:numPr>
          <w:ilvl w:val="1"/>
          <w:numId w:val="2"/>
        </w:numPr>
        <w:spacing w:line="520" w:lineRule="exact"/>
        <w:ind w:left="0" w:firstLine="640"/>
        <w:rPr>
          <w:rFonts w:eastAsia="楷体_GB2312" w:cs="Times New Roman"/>
          <w:b w:val="0"/>
          <w:sz w:val="32"/>
          <w:lang w:val="en-US"/>
        </w:rPr>
      </w:pPr>
      <w:r>
        <w:rPr>
          <w:rFonts w:eastAsia="楷体_GB2312" w:cs="Times New Roman" w:hint="eastAsia"/>
          <w:b w:val="0"/>
          <w:sz w:val="32"/>
          <w:lang w:val="en-US"/>
        </w:rPr>
        <w:t>评价原则及评价方法</w:t>
      </w:r>
    </w:p>
    <w:p w:rsidR="00E25D5A" w:rsidRDefault="00E25D5A" w:rsidP="00E25D5A">
      <w:pPr>
        <w:tabs>
          <w:tab w:val="left" w:pos="3771"/>
        </w:tabs>
        <w:spacing w:line="580" w:lineRule="exact"/>
        <w:ind w:firstLineChars="200" w:firstLine="643"/>
        <w:outlineLvl w:val="2"/>
        <w:rPr>
          <w:rFonts w:ascii="Times New Roman" w:eastAsia="仿宋" w:hAnsi="Times New Roman" w:cs="Times New Roman"/>
          <w:b/>
          <w:bCs/>
          <w:sz w:val="32"/>
          <w:szCs w:val="32"/>
        </w:rPr>
      </w:pPr>
      <w:bookmarkStart w:id="1" w:name="_Toc23822"/>
      <w:bookmarkStart w:id="2" w:name="_Toc24816"/>
      <w:bookmarkStart w:id="3" w:name="_Toc30942"/>
      <w:bookmarkStart w:id="4" w:name="_Toc15901"/>
      <w:bookmarkStart w:id="5" w:name="_Toc22177"/>
      <w:r>
        <w:rPr>
          <w:rFonts w:ascii="Times New Roman" w:eastAsia="仿宋" w:hAnsi="Times New Roman" w:cs="Times New Roman"/>
          <w:b/>
          <w:bCs/>
          <w:sz w:val="32"/>
          <w:szCs w:val="32"/>
        </w:rPr>
        <w:t>1.</w:t>
      </w:r>
      <w:r>
        <w:rPr>
          <w:rFonts w:ascii="Times New Roman" w:eastAsia="仿宋" w:hAnsi="Times New Roman" w:cs="Times New Roman"/>
          <w:b/>
          <w:bCs/>
          <w:sz w:val="32"/>
          <w:szCs w:val="32"/>
        </w:rPr>
        <w:t>评价原则</w:t>
      </w:r>
      <w:bookmarkEnd w:id="1"/>
      <w:bookmarkEnd w:id="2"/>
      <w:bookmarkEnd w:id="3"/>
      <w:bookmarkEnd w:id="4"/>
      <w:bookmarkEnd w:id="5"/>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Pr>
          <w:rFonts w:ascii="Times New Roman" w:eastAsia="仿宋" w:hAnsi="Times New Roman" w:cs="Times New Roman"/>
          <w:sz w:val="32"/>
          <w:szCs w:val="32"/>
        </w:rPr>
        <w:t>本</w:t>
      </w:r>
      <w:r w:rsidRPr="0030272C">
        <w:rPr>
          <w:rFonts w:ascii="仿宋_GB2312" w:eastAsia="仿宋_GB2312" w:hAnsi="Times New Roman" w:cs="Times New Roman"/>
          <w:sz w:val="32"/>
          <w:szCs w:val="32"/>
        </w:rPr>
        <w:t>次绩效评价遵循科学规范、公正公开以及绩效相关原则。</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（1）科学规范原则。本次评价严格执行规定的程序，</w:t>
      </w:r>
      <w:r w:rsidRPr="0030272C">
        <w:rPr>
          <w:rFonts w:ascii="仿宋_GB2312" w:eastAsia="仿宋_GB2312" w:hAnsi="Times New Roman" w:cs="Times New Roman"/>
          <w:sz w:val="32"/>
          <w:szCs w:val="32"/>
        </w:rPr>
        <w:lastRenderedPageBreak/>
        <w:t>按照科学可行的要求，采用定量与定性分析相结合的方法。</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（2）公平公正原则。本次评价符合真实、客观、公正的要求，依法公开并接受监督。</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（3）绩效相关原则。本次针对具体产出及其产出绩效进行评价，评价指标的设置须遵循绩效相关原则，即支出与产出指标的设置要具备相关性。</w:t>
      </w:r>
    </w:p>
    <w:p w:rsidR="00E25D5A" w:rsidRDefault="00E25D5A" w:rsidP="00E25D5A">
      <w:pPr>
        <w:pStyle w:val="a2"/>
        <w:spacing w:line="580" w:lineRule="exact"/>
        <w:ind w:firstLine="643"/>
        <w:outlineLvl w:val="2"/>
        <w:rPr>
          <w:rFonts w:eastAsia="仿宋"/>
          <w:b/>
          <w:bCs/>
          <w:kern w:val="2"/>
          <w:sz w:val="32"/>
          <w:szCs w:val="32"/>
          <w:lang w:val="en-US"/>
        </w:rPr>
      </w:pPr>
      <w:bookmarkStart w:id="6" w:name="_Toc4681"/>
      <w:bookmarkStart w:id="7" w:name="_Toc7512"/>
      <w:bookmarkStart w:id="8" w:name="_Toc28408"/>
      <w:bookmarkStart w:id="9" w:name="_Toc29541"/>
      <w:bookmarkStart w:id="10" w:name="_Toc5126"/>
      <w:r>
        <w:rPr>
          <w:rFonts w:eastAsia="仿宋"/>
          <w:b/>
          <w:bCs/>
          <w:kern w:val="2"/>
          <w:sz w:val="32"/>
          <w:szCs w:val="32"/>
          <w:lang w:val="en-US"/>
        </w:rPr>
        <w:t>2.</w:t>
      </w:r>
      <w:r>
        <w:rPr>
          <w:rFonts w:eastAsia="仿宋"/>
          <w:b/>
          <w:bCs/>
          <w:kern w:val="2"/>
          <w:sz w:val="32"/>
          <w:szCs w:val="32"/>
          <w:lang w:val="en-US"/>
        </w:rPr>
        <w:t>评价方法</w:t>
      </w:r>
      <w:bookmarkEnd w:id="6"/>
      <w:bookmarkEnd w:id="7"/>
      <w:bookmarkEnd w:id="8"/>
      <w:bookmarkEnd w:id="9"/>
      <w:bookmarkEnd w:id="10"/>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本次绩效评价属于完成结果评价，为准确、全面反映部门履职情况和履职效益，体现绩效评价的公平和客观，本次评价主要采用比较法、因素分析法、专家评议法和公众评判法4种方法。</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（1）比较法是通过对绩效目标与绩效结果、历史情况和考评期情况、不同部门和地区同类支出的比较，综合分析考评绩效目标完成情况的评价方法。</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（2）因素分析法是指通过分析影响目标、结果及成本的内外因素，综合分析评价绩效目标完成情况，总结项目实施过程中的经验、问题，提出项目改进建议。</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3）专家评议法是在定量和定性分析的基础上，以打分等方式做出定量评价。根据需求邀请财务专家、行业专家组成评价小组，到项目单位采取勘察、问询、复核、访谈等方式，对有关情况进行核实，对掌握的有关资料进行整理分析，及时提供专业的咨询意见，专家根据评价标准和行业经验进行评分。</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（4）公众评判法是通过专家评估、公众问卷及抽样调</w:t>
      </w:r>
      <w:r w:rsidRPr="0030272C">
        <w:rPr>
          <w:rFonts w:ascii="仿宋_GB2312" w:eastAsia="仿宋_GB2312" w:hAnsi="Times New Roman" w:cs="Times New Roman"/>
          <w:sz w:val="32"/>
          <w:szCs w:val="32"/>
        </w:rPr>
        <w:lastRenderedPageBreak/>
        <w:t>查等方式，对财政支出的效率性和效益性进行评判，评价绩效目标的实现程度。</w:t>
      </w:r>
    </w:p>
    <w:p w:rsidR="00EE0469" w:rsidRDefault="00EE0469" w:rsidP="00EE0469">
      <w:pPr>
        <w:pStyle w:val="a2"/>
        <w:spacing w:line="520" w:lineRule="exact"/>
        <w:ind w:firstLine="640"/>
        <w:rPr>
          <w:rFonts w:eastAsia="楷体_GB2312"/>
          <w:bCs/>
          <w:sz w:val="32"/>
          <w:szCs w:val="32"/>
          <w:lang w:val="en-US"/>
        </w:rPr>
      </w:pPr>
      <w:r>
        <w:rPr>
          <w:rFonts w:eastAsia="楷体_GB2312" w:hint="eastAsia"/>
          <w:bCs/>
          <w:sz w:val="32"/>
          <w:szCs w:val="32"/>
          <w:lang w:val="en-US"/>
        </w:rPr>
        <w:t>（五）绩效评价指标体系及设计思路</w:t>
      </w:r>
    </w:p>
    <w:p w:rsidR="00E25D5A" w:rsidRDefault="00E25D5A" w:rsidP="00E25D5A">
      <w:pPr>
        <w:tabs>
          <w:tab w:val="left" w:pos="3771"/>
        </w:tabs>
        <w:spacing w:line="580" w:lineRule="exact"/>
        <w:ind w:firstLineChars="200" w:firstLine="643"/>
        <w:outlineLvl w:val="2"/>
        <w:rPr>
          <w:rFonts w:ascii="Times New Roman" w:eastAsia="仿宋" w:hAnsi="Times New Roman" w:cs="Times New Roman"/>
          <w:b/>
          <w:bCs/>
          <w:sz w:val="32"/>
          <w:szCs w:val="32"/>
        </w:rPr>
      </w:pPr>
      <w:bookmarkStart w:id="11" w:name="_Toc4040"/>
      <w:bookmarkStart w:id="12" w:name="_Toc506"/>
      <w:bookmarkStart w:id="13" w:name="_Toc10994"/>
      <w:bookmarkStart w:id="14" w:name="_Toc1407"/>
      <w:bookmarkStart w:id="15" w:name="_Toc32106"/>
      <w:r>
        <w:rPr>
          <w:rFonts w:ascii="Times New Roman" w:eastAsia="仿宋" w:hAnsi="Times New Roman" w:cs="Times New Roman"/>
          <w:b/>
          <w:bCs/>
          <w:sz w:val="32"/>
          <w:szCs w:val="32"/>
        </w:rPr>
        <w:t>1.</w:t>
      </w:r>
      <w:r>
        <w:rPr>
          <w:rFonts w:ascii="Times New Roman" w:eastAsia="仿宋" w:hAnsi="Times New Roman" w:cs="Times New Roman"/>
          <w:b/>
          <w:bCs/>
          <w:sz w:val="32"/>
          <w:szCs w:val="32"/>
        </w:rPr>
        <w:t>指标设计思路</w:t>
      </w:r>
      <w:bookmarkEnd w:id="11"/>
      <w:bookmarkEnd w:id="12"/>
      <w:bookmarkEnd w:id="13"/>
      <w:bookmarkEnd w:id="14"/>
      <w:bookmarkEnd w:id="15"/>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hint="eastAsia"/>
          <w:sz w:val="32"/>
          <w:szCs w:val="32"/>
        </w:rPr>
        <w:t>本次整体支出绩效评价指标体系的设计以《青岛市财政局预算绩效管理内部工作规程》（青财绩〔2019〕7号）、《市级财政绩效评价操作指南》（青财绩〔2020〕6号）为依据，根据青岛市文化和旅游局部门职责和工作要点，我公司会同青岛市财政局、青岛市文化和旅游局及评价专家共同细化了绩效评价指标体系。其中：一、二、三级指标是根据整体支出共性指标体系设定，四级指标中的个性指标（产出和效益指标）主要是根据青岛市政府、青岛市文化和旅游局有关文件和工作要求而设定。</w:t>
      </w:r>
    </w:p>
    <w:p w:rsidR="00E25D5A" w:rsidRDefault="00E25D5A" w:rsidP="00E25D5A">
      <w:pPr>
        <w:tabs>
          <w:tab w:val="left" w:pos="3771"/>
        </w:tabs>
        <w:spacing w:line="580" w:lineRule="exact"/>
        <w:ind w:firstLineChars="200" w:firstLine="643"/>
        <w:outlineLvl w:val="2"/>
        <w:rPr>
          <w:rFonts w:ascii="Times New Roman" w:eastAsia="仿宋" w:hAnsi="Times New Roman" w:cs="Times New Roman"/>
          <w:b/>
          <w:bCs/>
          <w:sz w:val="32"/>
          <w:szCs w:val="32"/>
        </w:rPr>
      </w:pPr>
      <w:bookmarkStart w:id="16" w:name="_Toc28734"/>
      <w:bookmarkStart w:id="17" w:name="_Toc19639"/>
      <w:bookmarkStart w:id="18" w:name="_Toc7971"/>
      <w:bookmarkStart w:id="19" w:name="_Toc11827"/>
      <w:bookmarkStart w:id="20" w:name="_Toc10621"/>
      <w:r>
        <w:rPr>
          <w:rFonts w:ascii="Times New Roman" w:eastAsia="仿宋" w:hAnsi="Times New Roman" w:cs="Times New Roman"/>
          <w:b/>
          <w:bCs/>
          <w:sz w:val="32"/>
          <w:szCs w:val="32"/>
        </w:rPr>
        <w:t>2.</w:t>
      </w:r>
      <w:r>
        <w:rPr>
          <w:rFonts w:ascii="Times New Roman" w:eastAsia="仿宋" w:hAnsi="Times New Roman" w:cs="Times New Roman"/>
          <w:b/>
          <w:bCs/>
          <w:sz w:val="32"/>
          <w:szCs w:val="32"/>
        </w:rPr>
        <w:t>指标体系</w:t>
      </w:r>
      <w:bookmarkEnd w:id="16"/>
      <w:bookmarkEnd w:id="17"/>
      <w:bookmarkEnd w:id="18"/>
      <w:bookmarkEnd w:id="19"/>
      <w:bookmarkEnd w:id="20"/>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此次青岛市文化和旅游局部门整体支出的指标体系由投入、过程、产出和效果4个一级指标、7个二级指标、25个三级指标构成。各部分指标及权重设置情况如下：</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hint="eastAsia"/>
          <w:sz w:val="32"/>
          <w:szCs w:val="32"/>
        </w:rPr>
        <w:t>①</w:t>
      </w:r>
      <w:r w:rsidRPr="0030272C">
        <w:rPr>
          <w:rFonts w:ascii="仿宋_GB2312" w:eastAsia="仿宋_GB2312" w:hAnsi="Times New Roman" w:cs="Times New Roman"/>
          <w:sz w:val="32"/>
          <w:szCs w:val="32"/>
        </w:rPr>
        <w:t>投入：分值10分，主要对部门整体绩效目标的合理性、绩效指标的明确性、预算编制的合理性以及决策程序的规范性等情况进行评价。</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hint="eastAsia"/>
          <w:sz w:val="32"/>
          <w:szCs w:val="32"/>
        </w:rPr>
        <w:t>②</w:t>
      </w:r>
      <w:r w:rsidRPr="0030272C">
        <w:rPr>
          <w:rFonts w:ascii="仿宋_GB2312" w:eastAsia="仿宋_GB2312" w:hAnsi="Times New Roman" w:cs="Times New Roman"/>
          <w:sz w:val="32"/>
          <w:szCs w:val="32"/>
        </w:rPr>
        <w:t>过程：分值30分，主要对预算执行率、预算调整情况、支付进度率、上年结转资金执行率、</w:t>
      </w:r>
      <w:r w:rsidRPr="0030272C">
        <w:rPr>
          <w:rFonts w:ascii="仿宋_GB2312" w:eastAsia="仿宋_GB2312" w:hAnsi="Times New Roman" w:cs="Times New Roman"/>
          <w:sz w:val="32"/>
          <w:szCs w:val="32"/>
        </w:rPr>
        <w:t>“</w:t>
      </w:r>
      <w:r w:rsidRPr="0030272C">
        <w:rPr>
          <w:rFonts w:ascii="仿宋_GB2312" w:eastAsia="仿宋_GB2312" w:hAnsi="Times New Roman" w:cs="Times New Roman"/>
          <w:sz w:val="32"/>
          <w:szCs w:val="32"/>
        </w:rPr>
        <w:t>三公经费</w:t>
      </w:r>
      <w:r w:rsidRPr="0030272C">
        <w:rPr>
          <w:rFonts w:ascii="仿宋_GB2312" w:eastAsia="仿宋_GB2312" w:hAnsi="Times New Roman" w:cs="Times New Roman"/>
          <w:sz w:val="32"/>
          <w:szCs w:val="32"/>
        </w:rPr>
        <w:t>”</w:t>
      </w:r>
      <w:r w:rsidRPr="0030272C">
        <w:rPr>
          <w:rFonts w:ascii="仿宋_GB2312" w:eastAsia="仿宋_GB2312" w:hAnsi="Times New Roman" w:cs="Times New Roman"/>
          <w:sz w:val="32"/>
          <w:szCs w:val="32"/>
        </w:rPr>
        <w:t>变动情况、政府采购执行率、管理制度的健全性、资金使用的合规性、预决算信息公开性、基础信息完善性、固定资产利用率</w:t>
      </w:r>
      <w:r w:rsidRPr="0030272C">
        <w:rPr>
          <w:rFonts w:ascii="仿宋_GB2312" w:eastAsia="仿宋_GB2312" w:hAnsi="Times New Roman" w:cs="Times New Roman"/>
          <w:sz w:val="32"/>
          <w:szCs w:val="32"/>
        </w:rPr>
        <w:lastRenderedPageBreak/>
        <w:t>以及资产管理的规范性等情况进行评价。</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hint="eastAsia"/>
          <w:sz w:val="32"/>
          <w:szCs w:val="32"/>
        </w:rPr>
        <w:t>③</w:t>
      </w:r>
      <w:r w:rsidRPr="0030272C">
        <w:rPr>
          <w:rFonts w:ascii="仿宋_GB2312" w:eastAsia="仿宋_GB2312" w:hAnsi="Times New Roman" w:cs="Times New Roman"/>
          <w:sz w:val="32"/>
          <w:szCs w:val="32"/>
        </w:rPr>
        <w:t>产出：分值30分，主要对部门整体产出的完成情况、质量的达标情况、完成的及时情况、重点工作的办结情况进行评价。</w:t>
      </w:r>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hint="eastAsia"/>
          <w:sz w:val="32"/>
          <w:szCs w:val="32"/>
        </w:rPr>
        <w:t>④</w:t>
      </w:r>
      <w:r w:rsidRPr="0030272C">
        <w:rPr>
          <w:rFonts w:ascii="仿宋_GB2312" w:eastAsia="仿宋_GB2312" w:hAnsi="Times New Roman" w:cs="Times New Roman"/>
          <w:sz w:val="32"/>
          <w:szCs w:val="32"/>
        </w:rPr>
        <w:t>效果：分值30分，主要对部门整体支出带来的经济效益、社会效益、行政效能发挥、可持续效益和社会公众、其他部门（单位）或服务对象满意度等进行评价。</w:t>
      </w:r>
    </w:p>
    <w:p w:rsidR="00E25D5A" w:rsidRDefault="00E25D5A" w:rsidP="00E25D5A">
      <w:pPr>
        <w:tabs>
          <w:tab w:val="left" w:pos="3771"/>
        </w:tabs>
        <w:spacing w:line="580" w:lineRule="exact"/>
        <w:ind w:firstLineChars="200" w:firstLine="643"/>
        <w:outlineLvl w:val="2"/>
        <w:rPr>
          <w:rFonts w:ascii="Times New Roman" w:eastAsia="仿宋" w:hAnsi="Times New Roman" w:cs="Times New Roman"/>
          <w:b/>
          <w:bCs/>
          <w:sz w:val="32"/>
          <w:szCs w:val="32"/>
        </w:rPr>
      </w:pPr>
      <w:bookmarkStart w:id="21" w:name="_Toc25795"/>
      <w:bookmarkStart w:id="22" w:name="_Toc21329"/>
      <w:bookmarkStart w:id="23" w:name="_Toc20911"/>
      <w:bookmarkStart w:id="24" w:name="_Toc22220"/>
      <w:bookmarkStart w:id="25" w:name="_Toc19103"/>
      <w:r>
        <w:rPr>
          <w:rFonts w:ascii="Times New Roman" w:eastAsia="仿宋" w:hAnsi="Times New Roman" w:cs="Times New Roman"/>
          <w:b/>
          <w:bCs/>
          <w:sz w:val="32"/>
          <w:szCs w:val="32"/>
        </w:rPr>
        <w:t>3.</w:t>
      </w:r>
      <w:r>
        <w:rPr>
          <w:rFonts w:ascii="Times New Roman" w:eastAsia="仿宋" w:hAnsi="Times New Roman" w:cs="Times New Roman"/>
          <w:b/>
          <w:bCs/>
          <w:sz w:val="32"/>
          <w:szCs w:val="32"/>
        </w:rPr>
        <w:t>绩效评价等级</w:t>
      </w:r>
      <w:bookmarkEnd w:id="21"/>
      <w:bookmarkEnd w:id="22"/>
      <w:bookmarkEnd w:id="23"/>
      <w:bookmarkEnd w:id="24"/>
      <w:bookmarkEnd w:id="25"/>
    </w:p>
    <w:p w:rsidR="00E25D5A" w:rsidRPr="0030272C" w:rsidRDefault="00E25D5A" w:rsidP="00E25D5A">
      <w:pPr>
        <w:tabs>
          <w:tab w:val="left" w:pos="3771"/>
        </w:tabs>
        <w:spacing w:line="580" w:lineRule="exact"/>
        <w:ind w:firstLineChars="200" w:firstLine="640"/>
        <w:rPr>
          <w:rFonts w:ascii="仿宋_GB2312" w:eastAsia="仿宋_GB2312" w:hAnsi="Times New Roman" w:cs="Times New Roman"/>
          <w:bCs/>
          <w:sz w:val="32"/>
          <w:szCs w:val="32"/>
        </w:rPr>
      </w:pPr>
      <w:r w:rsidRPr="0030272C">
        <w:rPr>
          <w:rFonts w:ascii="仿宋_GB2312" w:eastAsia="仿宋_GB2312" w:hAnsi="Times New Roman" w:cs="Times New Roman" w:hint="eastAsia"/>
          <w:sz w:val="32"/>
          <w:szCs w:val="32"/>
        </w:rPr>
        <w:t>绩效评价结果采取评分和评级相结合的方式，总分设置为100分，等级划分为四档：90（含）-100分为优、80（含）-90分为良、70（含）-80分为中、70分以下为差。</w:t>
      </w:r>
    </w:p>
    <w:p w:rsidR="00EE0469" w:rsidRDefault="00EE0469" w:rsidP="00EE0469">
      <w:pPr>
        <w:pStyle w:val="a2"/>
        <w:spacing w:line="520" w:lineRule="exact"/>
        <w:ind w:firstLine="640"/>
        <w:rPr>
          <w:rFonts w:eastAsia="楷体_GB2312"/>
          <w:bCs/>
          <w:sz w:val="32"/>
          <w:szCs w:val="32"/>
          <w:lang w:val="en-US"/>
        </w:rPr>
      </w:pPr>
      <w:r>
        <w:rPr>
          <w:rFonts w:eastAsia="楷体_GB2312" w:hint="eastAsia"/>
          <w:bCs/>
          <w:sz w:val="32"/>
          <w:szCs w:val="32"/>
          <w:lang w:val="en-US"/>
        </w:rPr>
        <w:t>（六）绩效评价人员组成</w:t>
      </w:r>
    </w:p>
    <w:p w:rsidR="007772DD" w:rsidRPr="0030272C" w:rsidRDefault="007772DD" w:rsidP="007772DD">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sz w:val="32"/>
          <w:szCs w:val="32"/>
        </w:rPr>
        <w:t>本次绩效评价工作由青岛市</w:t>
      </w:r>
      <w:r w:rsidRPr="0030272C">
        <w:rPr>
          <w:rFonts w:ascii="仿宋_GB2312" w:eastAsia="仿宋_GB2312" w:hAnsi="Times New Roman" w:cs="Times New Roman" w:hint="eastAsia"/>
          <w:sz w:val="32"/>
          <w:szCs w:val="32"/>
        </w:rPr>
        <w:t>文化和旅游局</w:t>
      </w:r>
      <w:r w:rsidRPr="0030272C">
        <w:rPr>
          <w:rFonts w:ascii="仿宋_GB2312" w:eastAsia="仿宋_GB2312" w:hAnsi="Times New Roman" w:cs="Times New Roman"/>
          <w:sz w:val="32"/>
          <w:szCs w:val="32"/>
        </w:rPr>
        <w:t>组织，</w:t>
      </w:r>
      <w:r w:rsidRPr="0030272C">
        <w:rPr>
          <w:rFonts w:ascii="仿宋_GB2312" w:eastAsia="仿宋_GB2312" w:hAnsi="Times New Roman" w:cs="Times New Roman" w:hint="eastAsia"/>
          <w:sz w:val="32"/>
          <w:szCs w:val="32"/>
        </w:rPr>
        <w:t>由文化和旅游局本级财务牵头，各部分负责人分别评价负责的相关工作目标和专项资金，有关单位分头评价，部门汇总的方式进行部门整体评价工作。</w:t>
      </w:r>
    </w:p>
    <w:p w:rsidR="00EE0469" w:rsidRDefault="00EE0469" w:rsidP="00EE0469">
      <w:pPr>
        <w:pStyle w:val="a2"/>
        <w:spacing w:line="520" w:lineRule="exact"/>
        <w:ind w:firstLine="640"/>
        <w:rPr>
          <w:rFonts w:eastAsia="楷体_GB2312"/>
          <w:bCs/>
          <w:sz w:val="32"/>
          <w:szCs w:val="32"/>
          <w:lang w:val="en-US"/>
        </w:rPr>
      </w:pPr>
      <w:r>
        <w:rPr>
          <w:rFonts w:eastAsia="楷体_GB2312" w:hint="eastAsia"/>
          <w:bCs/>
          <w:sz w:val="32"/>
          <w:szCs w:val="32"/>
          <w:lang w:val="en-US"/>
        </w:rPr>
        <w:t>（七）绩效评价工作过程</w:t>
      </w:r>
    </w:p>
    <w:p w:rsidR="0030272C" w:rsidRDefault="007772DD" w:rsidP="0030272C">
      <w:pPr>
        <w:tabs>
          <w:tab w:val="left" w:pos="3771"/>
        </w:tabs>
        <w:spacing w:line="580" w:lineRule="exact"/>
        <w:ind w:firstLineChars="200" w:firstLine="640"/>
        <w:rPr>
          <w:rFonts w:ascii="仿宋_GB2312" w:eastAsia="仿宋_GB2312" w:hAnsi="Times New Roman" w:cs="Times New Roman"/>
          <w:sz w:val="32"/>
          <w:szCs w:val="32"/>
        </w:rPr>
      </w:pPr>
      <w:r w:rsidRPr="0030272C">
        <w:rPr>
          <w:rFonts w:ascii="仿宋_GB2312" w:eastAsia="仿宋_GB2312" w:hAnsi="Times New Roman" w:cs="Times New Roman" w:hint="eastAsia"/>
          <w:sz w:val="32"/>
          <w:szCs w:val="32"/>
        </w:rPr>
        <w:t>2021年1月份各资金使用部门和单位对使用的专项资金进行绩效自评，3月份进行专项资金绩效评价审核和汇总工作，4月份进行部门整体绩效评价。</w:t>
      </w:r>
    </w:p>
    <w:p w:rsidR="0030272C" w:rsidRDefault="00EE0469" w:rsidP="0030272C">
      <w:pPr>
        <w:tabs>
          <w:tab w:val="left" w:pos="3771"/>
        </w:tabs>
        <w:spacing w:line="580" w:lineRule="exact"/>
        <w:ind w:firstLineChars="200" w:firstLine="640"/>
        <w:rPr>
          <w:rFonts w:eastAsia="黑体" w:cs="Times New Roman"/>
          <w:kern w:val="44"/>
          <w:sz w:val="32"/>
          <w:szCs w:val="44"/>
        </w:rPr>
      </w:pPr>
      <w:r>
        <w:rPr>
          <w:rFonts w:eastAsia="黑体" w:cs="Times New Roman" w:hint="eastAsia"/>
          <w:kern w:val="44"/>
          <w:sz w:val="32"/>
          <w:szCs w:val="44"/>
        </w:rPr>
        <w:t>三、评价结论与绩效分析</w:t>
      </w:r>
    </w:p>
    <w:p w:rsidR="0030272C" w:rsidRDefault="00EE0469" w:rsidP="0030272C">
      <w:pPr>
        <w:tabs>
          <w:tab w:val="left" w:pos="3771"/>
        </w:tabs>
        <w:spacing w:line="580" w:lineRule="exact"/>
        <w:ind w:firstLineChars="200" w:firstLine="640"/>
        <w:rPr>
          <w:rFonts w:eastAsia="楷体_GB2312" w:cs="Times New Roman"/>
          <w:sz w:val="32"/>
        </w:rPr>
      </w:pPr>
      <w:r>
        <w:rPr>
          <w:rFonts w:eastAsia="楷体_GB2312" w:cs="Times New Roman" w:hint="eastAsia"/>
          <w:sz w:val="32"/>
        </w:rPr>
        <w:t>（一）评价结论</w:t>
      </w:r>
    </w:p>
    <w:p w:rsidR="001615C2" w:rsidRPr="0030272C" w:rsidRDefault="001615C2" w:rsidP="0030272C">
      <w:pPr>
        <w:tabs>
          <w:tab w:val="left" w:pos="3771"/>
        </w:tabs>
        <w:spacing w:line="580" w:lineRule="exact"/>
        <w:ind w:firstLineChars="200" w:firstLine="640"/>
        <w:rPr>
          <w:rFonts w:ascii="仿宋_GB2312" w:eastAsia="仿宋_GB2312" w:cs="Times New Roman"/>
          <w:b/>
          <w:sz w:val="32"/>
        </w:rPr>
      </w:pPr>
      <w:r w:rsidRPr="0030272C">
        <w:rPr>
          <w:rFonts w:ascii="仿宋_GB2312" w:eastAsia="仿宋_GB2312" w:cs="Times New Roman" w:hint="eastAsia"/>
          <w:sz w:val="32"/>
        </w:rPr>
        <w:t>2019年青岛市文化和旅游局组织了8项业务职能目标、39项十五大攻势攻坚任务规定业务，深入实施了推进国际时</w:t>
      </w:r>
      <w:r w:rsidRPr="0030272C">
        <w:rPr>
          <w:rFonts w:ascii="仿宋_GB2312" w:eastAsia="仿宋_GB2312" w:cs="Times New Roman" w:hint="eastAsia"/>
          <w:sz w:val="32"/>
        </w:rPr>
        <w:lastRenderedPageBreak/>
        <w:t>尚城建设攻势，持续打造时尚文旅品牌、创新旅游营销模式，拉动文化旅游惠民消费、</w:t>
      </w:r>
      <w:r w:rsidRPr="0030272C">
        <w:rPr>
          <w:rFonts w:ascii="仿宋_GB2312" w:eastAsia="仿宋_GB2312" w:hAnsi="仿宋_GB2312" w:cs="仿宋_GB2312" w:hint="eastAsia"/>
          <w:color w:val="000000" w:themeColor="text1"/>
          <w:sz w:val="32"/>
        </w:rPr>
        <w:t>推进胶东经济圈文化旅游一体化,招引影响力大、辐射力强的大型文旅融合等工作任务</w:t>
      </w:r>
      <w:r w:rsidRPr="0030272C">
        <w:rPr>
          <w:rFonts w:ascii="仿宋_GB2312" w:eastAsia="仿宋_GB2312" w:cs="Times New Roman" w:hint="eastAsia"/>
          <w:sz w:val="32"/>
        </w:rPr>
        <w:t>，部门基本支出保障了单位日常工作的正常运转，项目支出保障了业务工作的健康有序开展，为建设开放、现代、活力、时尚的国际大都市起到了较好的保障与推进作用。</w:t>
      </w:r>
      <w:r w:rsidR="00035F6C" w:rsidRPr="0030272C">
        <w:rPr>
          <w:rFonts w:ascii="仿宋_GB2312" w:eastAsia="仿宋_GB2312" w:hAnsi="仿宋_GB2312" w:cs="仿宋_GB2312" w:hint="eastAsia"/>
          <w:color w:val="000000" w:themeColor="text1"/>
          <w:sz w:val="32"/>
        </w:rPr>
        <w:t>建立文旅系统疫情防控组织领导机制，制定实施疫情防控工作指南，指导企业有序复产复工复产。</w:t>
      </w:r>
      <w:r w:rsidRPr="0030272C">
        <w:rPr>
          <w:rFonts w:ascii="仿宋_GB2312" w:eastAsia="仿宋_GB2312" w:hAnsi="仿宋_GB2312" w:cs="仿宋_GB2312" w:hint="eastAsia"/>
          <w:color w:val="000000" w:themeColor="text1"/>
          <w:sz w:val="32"/>
        </w:rPr>
        <w:t>根据20</w:t>
      </w:r>
      <w:r w:rsidR="00035F6C" w:rsidRPr="0030272C">
        <w:rPr>
          <w:rFonts w:ascii="仿宋_GB2312" w:eastAsia="仿宋_GB2312" w:hAnsi="仿宋_GB2312" w:cs="仿宋_GB2312" w:hint="eastAsia"/>
          <w:color w:val="000000" w:themeColor="text1"/>
          <w:sz w:val="32"/>
        </w:rPr>
        <w:t>20</w:t>
      </w:r>
      <w:r w:rsidRPr="0030272C">
        <w:rPr>
          <w:rFonts w:ascii="仿宋_GB2312" w:eastAsia="仿宋_GB2312" w:hAnsi="仿宋_GB2312" w:cs="仿宋_GB2312" w:hint="eastAsia"/>
          <w:color w:val="000000" w:themeColor="text1"/>
          <w:sz w:val="32"/>
        </w:rPr>
        <w:t>年青岛市文化和旅游局部</w:t>
      </w:r>
      <w:r w:rsidRPr="0030272C">
        <w:rPr>
          <w:rFonts w:ascii="仿宋_GB2312" w:eastAsia="仿宋_GB2312" w:cs="Times New Roman" w:hint="eastAsia"/>
          <w:sz w:val="32"/>
        </w:rPr>
        <w:t>门整体支出绩效评价指标体系评分表进行评分，本次评价综合得分为</w:t>
      </w:r>
      <w:r w:rsidR="00035F6C" w:rsidRPr="0030272C">
        <w:rPr>
          <w:rFonts w:ascii="仿宋_GB2312" w:eastAsia="仿宋_GB2312" w:cs="Times New Roman" w:hint="eastAsia"/>
          <w:sz w:val="32"/>
        </w:rPr>
        <w:t>9</w:t>
      </w:r>
      <w:r w:rsidR="00400395">
        <w:rPr>
          <w:rFonts w:ascii="仿宋_GB2312" w:eastAsia="仿宋_GB2312" w:cs="Times New Roman" w:hint="eastAsia"/>
          <w:sz w:val="32"/>
        </w:rPr>
        <w:t>8.2</w:t>
      </w:r>
      <w:r w:rsidRPr="0030272C">
        <w:rPr>
          <w:rFonts w:ascii="仿宋_GB2312" w:eastAsia="仿宋_GB2312" w:cs="Times New Roman" w:hint="eastAsia"/>
          <w:sz w:val="32"/>
        </w:rPr>
        <w:t>分，评价等级为“</w:t>
      </w:r>
      <w:r w:rsidR="00035F6C" w:rsidRPr="0030272C">
        <w:rPr>
          <w:rFonts w:ascii="仿宋_GB2312" w:eastAsia="仿宋_GB2312" w:cs="Times New Roman" w:hint="eastAsia"/>
          <w:sz w:val="32"/>
        </w:rPr>
        <w:t>优</w:t>
      </w:r>
      <w:r w:rsidRPr="0030272C">
        <w:rPr>
          <w:rFonts w:ascii="仿宋_GB2312" w:eastAsia="仿宋_GB2312" w:cs="Times New Roman" w:hint="eastAsia"/>
          <w:sz w:val="32"/>
        </w:rPr>
        <w:t>”。项目综合指标得分情况及分析结果见下表。</w:t>
      </w:r>
    </w:p>
    <w:p w:rsidR="00035F6C" w:rsidRDefault="00035F6C" w:rsidP="00035F6C">
      <w:pPr>
        <w:widowControl/>
        <w:jc w:val="center"/>
        <w:rPr>
          <w:rFonts w:ascii="Times New Roman" w:eastAsia="黑体" w:hAnsi="Times New Roman" w:cs="Times New Roman"/>
          <w:sz w:val="22"/>
          <w:szCs w:val="22"/>
        </w:rPr>
      </w:pPr>
      <w:r>
        <w:rPr>
          <w:rFonts w:ascii="Times New Roman" w:eastAsia="黑体" w:hAnsi="Times New Roman" w:cs="Times New Roman"/>
          <w:sz w:val="22"/>
          <w:szCs w:val="22"/>
        </w:rPr>
        <w:t>表</w:t>
      </w:r>
      <w:r>
        <w:rPr>
          <w:rFonts w:ascii="Times New Roman" w:eastAsia="黑体" w:hAnsi="Times New Roman" w:cs="Times New Roman" w:hint="eastAsia"/>
          <w:sz w:val="22"/>
          <w:szCs w:val="22"/>
        </w:rPr>
        <w:t>2</w:t>
      </w:r>
      <w:r>
        <w:rPr>
          <w:rFonts w:ascii="Times New Roman" w:eastAsia="黑体" w:hAnsi="Times New Roman" w:cs="Times New Roman"/>
          <w:sz w:val="22"/>
          <w:szCs w:val="22"/>
        </w:rPr>
        <w:t xml:space="preserve">  2019</w:t>
      </w:r>
      <w:r>
        <w:rPr>
          <w:rFonts w:ascii="Times New Roman" w:eastAsia="黑体" w:hAnsi="Times New Roman" w:cs="Times New Roman"/>
          <w:sz w:val="22"/>
          <w:szCs w:val="22"/>
        </w:rPr>
        <w:t>年青岛市文化和旅游局部门整体支出</w:t>
      </w:r>
      <w:r>
        <w:rPr>
          <w:rFonts w:ascii="Times New Roman" w:eastAsia="黑体" w:hAnsi="Times New Roman" w:cs="Times New Roman" w:hint="eastAsia"/>
          <w:sz w:val="22"/>
          <w:szCs w:val="22"/>
        </w:rPr>
        <w:t>资金</w:t>
      </w:r>
      <w:r>
        <w:rPr>
          <w:rFonts w:ascii="Times New Roman" w:eastAsia="黑体" w:hAnsi="Times New Roman" w:cs="Times New Roman"/>
          <w:sz w:val="22"/>
          <w:szCs w:val="22"/>
        </w:rPr>
        <w:t>综合指标得分表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787"/>
        <w:gridCol w:w="719"/>
        <w:gridCol w:w="914"/>
        <w:gridCol w:w="2835"/>
        <w:gridCol w:w="921"/>
        <w:gridCol w:w="1147"/>
      </w:tblGrid>
      <w:tr w:rsidR="00035F6C" w:rsidTr="00A41C90">
        <w:trPr>
          <w:trHeight w:val="90"/>
          <w:jc w:val="center"/>
        </w:trPr>
        <w:tc>
          <w:tcPr>
            <w:tcW w:w="1072" w:type="pct"/>
            <w:shd w:val="clear" w:color="auto" w:fill="BEBEB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宋体" w:hAnsi="Times New Roman" w:cs="Times New Roman"/>
                <w:sz w:val="22"/>
                <w:szCs w:val="22"/>
              </w:rPr>
            </w:pPr>
            <w:r>
              <w:rPr>
                <w:rFonts w:ascii="Times New Roman" w:eastAsia="黑体" w:hAnsi="Times New Roman" w:cs="Times New Roman"/>
                <w:kern w:val="0"/>
                <w:sz w:val="22"/>
                <w:szCs w:val="22"/>
              </w:rPr>
              <w:t>一级指标及分值</w:t>
            </w:r>
          </w:p>
        </w:tc>
        <w:tc>
          <w:tcPr>
            <w:tcW w:w="432" w:type="pct"/>
            <w:shd w:val="clear" w:color="auto" w:fill="BEBEB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宋体" w:hAnsi="Times New Roman" w:cs="Times New Roman"/>
                <w:sz w:val="22"/>
                <w:szCs w:val="22"/>
              </w:rPr>
            </w:pPr>
            <w:r>
              <w:rPr>
                <w:rFonts w:ascii="Times New Roman" w:eastAsia="黑体" w:hAnsi="Times New Roman" w:cs="Times New Roman"/>
                <w:kern w:val="0"/>
                <w:sz w:val="22"/>
                <w:szCs w:val="22"/>
              </w:rPr>
              <w:t>得分</w:t>
            </w:r>
          </w:p>
        </w:tc>
        <w:tc>
          <w:tcPr>
            <w:tcW w:w="549" w:type="pct"/>
            <w:shd w:val="clear" w:color="auto" w:fill="BEBEB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宋体" w:hAnsi="Times New Roman" w:cs="Times New Roman"/>
                <w:sz w:val="22"/>
                <w:szCs w:val="22"/>
              </w:rPr>
            </w:pPr>
            <w:r>
              <w:rPr>
                <w:rFonts w:ascii="Times New Roman" w:eastAsia="黑体" w:hAnsi="Times New Roman" w:cs="Times New Roman"/>
                <w:kern w:val="0"/>
                <w:sz w:val="22"/>
                <w:szCs w:val="22"/>
              </w:rPr>
              <w:t>得分率</w:t>
            </w:r>
          </w:p>
        </w:tc>
        <w:tc>
          <w:tcPr>
            <w:tcW w:w="1702" w:type="pct"/>
            <w:shd w:val="clear" w:color="auto" w:fill="BEBEB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宋体" w:hAnsi="Times New Roman" w:cs="Times New Roman"/>
                <w:sz w:val="22"/>
                <w:szCs w:val="22"/>
              </w:rPr>
            </w:pPr>
            <w:r>
              <w:rPr>
                <w:rFonts w:ascii="Times New Roman" w:eastAsia="黑体" w:hAnsi="Times New Roman" w:cs="Times New Roman"/>
                <w:kern w:val="0"/>
                <w:sz w:val="22"/>
                <w:szCs w:val="22"/>
              </w:rPr>
              <w:t>二级指标及分值</w:t>
            </w:r>
          </w:p>
        </w:tc>
        <w:tc>
          <w:tcPr>
            <w:tcW w:w="553" w:type="pct"/>
            <w:shd w:val="clear" w:color="auto" w:fill="BEBEB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宋体" w:hAnsi="Times New Roman" w:cs="Times New Roman"/>
                <w:sz w:val="22"/>
                <w:szCs w:val="22"/>
              </w:rPr>
            </w:pPr>
            <w:r>
              <w:rPr>
                <w:rFonts w:ascii="Times New Roman" w:eastAsia="黑体" w:hAnsi="Times New Roman" w:cs="Times New Roman"/>
                <w:kern w:val="0"/>
                <w:sz w:val="22"/>
                <w:szCs w:val="22"/>
              </w:rPr>
              <w:t>得分</w:t>
            </w:r>
          </w:p>
        </w:tc>
        <w:tc>
          <w:tcPr>
            <w:tcW w:w="688" w:type="pct"/>
            <w:shd w:val="clear" w:color="auto" w:fill="BEBEB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宋体" w:hAnsi="Times New Roman" w:cs="Times New Roman"/>
                <w:sz w:val="22"/>
                <w:szCs w:val="22"/>
              </w:rPr>
            </w:pPr>
            <w:r>
              <w:rPr>
                <w:rFonts w:ascii="Times New Roman" w:eastAsia="黑体" w:hAnsi="Times New Roman" w:cs="Times New Roman"/>
                <w:kern w:val="0"/>
                <w:sz w:val="22"/>
                <w:szCs w:val="22"/>
              </w:rPr>
              <w:t>得分率</w:t>
            </w:r>
          </w:p>
        </w:tc>
      </w:tr>
      <w:tr w:rsidR="00035F6C" w:rsidTr="00A41C90">
        <w:trPr>
          <w:trHeight w:val="312"/>
          <w:jc w:val="center"/>
        </w:trPr>
        <w:tc>
          <w:tcPr>
            <w:tcW w:w="1072" w:type="pct"/>
            <w:vMerge w:val="restart"/>
            <w:noWrap/>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投入（</w:t>
            </w:r>
            <w:r>
              <w:rPr>
                <w:rFonts w:ascii="Times New Roman" w:eastAsia="仿宋_GB2312" w:hAnsi="Times New Roman" w:cs="Times New Roman"/>
                <w:kern w:val="0"/>
                <w:sz w:val="22"/>
                <w:szCs w:val="22"/>
              </w:rPr>
              <w:t>10</w:t>
            </w:r>
            <w:r>
              <w:rPr>
                <w:rFonts w:ascii="Times New Roman" w:eastAsia="仿宋_GB2312" w:hAnsi="Times New Roman" w:cs="Times New Roman"/>
                <w:kern w:val="0"/>
                <w:sz w:val="22"/>
                <w:szCs w:val="22"/>
              </w:rPr>
              <w:t>分）</w:t>
            </w:r>
          </w:p>
        </w:tc>
        <w:tc>
          <w:tcPr>
            <w:tcW w:w="432" w:type="pct"/>
            <w:vMerge w:val="restart"/>
            <w:noWrap/>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10</w:t>
            </w:r>
          </w:p>
        </w:tc>
        <w:tc>
          <w:tcPr>
            <w:tcW w:w="549" w:type="pct"/>
            <w:vMerge w:val="restart"/>
            <w:noWrap/>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100</w:t>
            </w:r>
            <w:r w:rsidR="00035F6C">
              <w:rPr>
                <w:rFonts w:ascii="Times New Roman" w:eastAsia="仿宋_GB2312" w:hAnsi="Times New Roman" w:cs="Times New Roman"/>
                <w:kern w:val="0"/>
                <w:sz w:val="22"/>
                <w:szCs w:val="22"/>
              </w:rPr>
              <w:t>%</w:t>
            </w:r>
          </w:p>
        </w:tc>
        <w:tc>
          <w:tcPr>
            <w:tcW w:w="170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目标设定（</w:t>
            </w:r>
            <w:r>
              <w:rPr>
                <w:rFonts w:ascii="Times New Roman" w:eastAsia="仿宋_GB2312" w:hAnsi="Times New Roman" w:cs="Times New Roman"/>
                <w:kern w:val="0"/>
                <w:sz w:val="22"/>
                <w:szCs w:val="22"/>
              </w:rPr>
              <w:t>5</w:t>
            </w:r>
            <w:r>
              <w:rPr>
                <w:rFonts w:ascii="Times New Roman" w:eastAsia="仿宋_GB2312" w:hAnsi="Times New Roman" w:cs="Times New Roman"/>
                <w:kern w:val="0"/>
                <w:sz w:val="22"/>
                <w:szCs w:val="22"/>
              </w:rPr>
              <w:t>分）</w:t>
            </w:r>
          </w:p>
        </w:tc>
        <w:tc>
          <w:tcPr>
            <w:tcW w:w="553" w:type="pct"/>
            <w:noWrap/>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5</w:t>
            </w:r>
          </w:p>
        </w:tc>
        <w:tc>
          <w:tcPr>
            <w:tcW w:w="688" w:type="pct"/>
            <w:noWrap/>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10</w:t>
            </w:r>
            <w:r w:rsidR="00035F6C">
              <w:rPr>
                <w:rFonts w:ascii="Times New Roman" w:eastAsia="仿宋_GB2312" w:hAnsi="Times New Roman" w:cs="Times New Roman"/>
                <w:kern w:val="0"/>
                <w:sz w:val="22"/>
                <w:szCs w:val="22"/>
              </w:rPr>
              <w:t>0</w:t>
            </w:r>
            <w:r w:rsidR="00035F6C">
              <w:rPr>
                <w:rFonts w:ascii="Times New Roman" w:eastAsia="仿宋_GB2312" w:hAnsi="Times New Roman" w:cs="Times New Roman" w:hint="eastAsia"/>
                <w:kern w:val="0"/>
                <w:sz w:val="22"/>
                <w:szCs w:val="22"/>
              </w:rPr>
              <w:t>.00</w:t>
            </w:r>
            <w:r w:rsidR="00035F6C">
              <w:rPr>
                <w:rFonts w:ascii="Times New Roman" w:eastAsia="仿宋_GB2312" w:hAnsi="Times New Roman" w:cs="Times New Roman"/>
                <w:kern w:val="0"/>
                <w:sz w:val="22"/>
                <w:szCs w:val="22"/>
              </w:rPr>
              <w:t>%</w:t>
            </w:r>
          </w:p>
        </w:tc>
      </w:tr>
      <w:tr w:rsidR="00035F6C" w:rsidTr="00A41C90">
        <w:trPr>
          <w:trHeight w:val="90"/>
          <w:jc w:val="center"/>
        </w:trPr>
        <w:tc>
          <w:tcPr>
            <w:tcW w:w="1072" w:type="pct"/>
            <w:vMerge/>
            <w:noWrap/>
            <w:tcMar>
              <w:top w:w="12" w:type="dxa"/>
              <w:left w:w="12" w:type="dxa"/>
              <w:right w:w="12" w:type="dxa"/>
            </w:tcMar>
            <w:vAlign w:val="center"/>
          </w:tcPr>
          <w:p w:rsidR="00035F6C" w:rsidRDefault="00035F6C" w:rsidP="00A41C90">
            <w:pPr>
              <w:widowControl/>
              <w:spacing w:line="360" w:lineRule="auto"/>
              <w:jc w:val="center"/>
              <w:rPr>
                <w:rFonts w:ascii="Times New Roman" w:eastAsia="仿宋_GB2312" w:hAnsi="Times New Roman" w:cs="Times New Roman"/>
                <w:sz w:val="22"/>
                <w:szCs w:val="22"/>
              </w:rPr>
            </w:pPr>
          </w:p>
        </w:tc>
        <w:tc>
          <w:tcPr>
            <w:tcW w:w="432" w:type="pct"/>
            <w:vMerge/>
            <w:noWrap/>
            <w:tcMar>
              <w:top w:w="12" w:type="dxa"/>
              <w:left w:w="12" w:type="dxa"/>
              <w:right w:w="12" w:type="dxa"/>
            </w:tcMar>
            <w:vAlign w:val="center"/>
          </w:tcPr>
          <w:p w:rsidR="00035F6C" w:rsidRDefault="00035F6C" w:rsidP="00A41C90">
            <w:pPr>
              <w:widowControl/>
              <w:spacing w:line="360" w:lineRule="auto"/>
              <w:jc w:val="center"/>
              <w:rPr>
                <w:rFonts w:ascii="Times New Roman" w:eastAsia="仿宋_GB2312" w:hAnsi="Times New Roman" w:cs="Times New Roman"/>
                <w:sz w:val="22"/>
                <w:szCs w:val="22"/>
              </w:rPr>
            </w:pPr>
          </w:p>
        </w:tc>
        <w:tc>
          <w:tcPr>
            <w:tcW w:w="549" w:type="pct"/>
            <w:vMerge/>
            <w:noWrap/>
            <w:tcMar>
              <w:top w:w="12" w:type="dxa"/>
              <w:left w:w="12" w:type="dxa"/>
              <w:right w:w="12" w:type="dxa"/>
            </w:tcMar>
            <w:vAlign w:val="center"/>
          </w:tcPr>
          <w:p w:rsidR="00035F6C" w:rsidRDefault="00035F6C" w:rsidP="00A41C90">
            <w:pPr>
              <w:widowControl/>
              <w:spacing w:line="360" w:lineRule="auto"/>
              <w:jc w:val="center"/>
              <w:rPr>
                <w:rFonts w:ascii="Times New Roman" w:eastAsia="仿宋_GB2312" w:hAnsi="Times New Roman" w:cs="Times New Roman"/>
                <w:sz w:val="22"/>
                <w:szCs w:val="22"/>
              </w:rPr>
            </w:pPr>
          </w:p>
        </w:tc>
        <w:tc>
          <w:tcPr>
            <w:tcW w:w="170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sz w:val="22"/>
                <w:szCs w:val="22"/>
              </w:rPr>
              <w:t>预算编制（</w:t>
            </w:r>
            <w:r>
              <w:rPr>
                <w:rFonts w:ascii="Times New Roman" w:eastAsia="仿宋_GB2312" w:hAnsi="Times New Roman" w:cs="Times New Roman"/>
                <w:sz w:val="22"/>
                <w:szCs w:val="22"/>
              </w:rPr>
              <w:t>5</w:t>
            </w:r>
            <w:r>
              <w:rPr>
                <w:rFonts w:ascii="Times New Roman" w:eastAsia="仿宋_GB2312" w:hAnsi="Times New Roman" w:cs="Times New Roman"/>
                <w:sz w:val="22"/>
                <w:szCs w:val="22"/>
              </w:rPr>
              <w:t>分）</w:t>
            </w:r>
          </w:p>
        </w:tc>
        <w:tc>
          <w:tcPr>
            <w:tcW w:w="553" w:type="pct"/>
            <w:noWrap/>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sz w:val="22"/>
                <w:szCs w:val="22"/>
              </w:rPr>
              <w:t>5</w:t>
            </w:r>
          </w:p>
        </w:tc>
        <w:tc>
          <w:tcPr>
            <w:tcW w:w="688" w:type="pct"/>
            <w:noWrap/>
            <w:tcMar>
              <w:top w:w="12" w:type="dxa"/>
              <w:left w:w="12" w:type="dxa"/>
              <w:right w:w="12" w:type="dxa"/>
            </w:tcMar>
            <w:vAlign w:val="center"/>
          </w:tcPr>
          <w:p w:rsidR="00035F6C" w:rsidRDefault="00E74089"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sz w:val="22"/>
                <w:szCs w:val="22"/>
              </w:rPr>
              <w:t>100</w:t>
            </w:r>
            <w:r w:rsidR="00035F6C">
              <w:rPr>
                <w:rFonts w:ascii="Times New Roman" w:eastAsia="仿宋_GB2312" w:hAnsi="Times New Roman" w:cs="Times New Roman" w:hint="eastAsia"/>
                <w:sz w:val="22"/>
                <w:szCs w:val="22"/>
              </w:rPr>
              <w:t>.00</w:t>
            </w:r>
            <w:r w:rsidR="00035F6C">
              <w:rPr>
                <w:rFonts w:ascii="Times New Roman" w:eastAsia="仿宋_GB2312" w:hAnsi="Times New Roman" w:cs="Times New Roman"/>
                <w:sz w:val="22"/>
                <w:szCs w:val="22"/>
              </w:rPr>
              <w:t>%</w:t>
            </w:r>
          </w:p>
        </w:tc>
      </w:tr>
      <w:tr w:rsidR="00035F6C" w:rsidTr="00A41C90">
        <w:trPr>
          <w:trHeight w:val="90"/>
          <w:jc w:val="center"/>
        </w:trPr>
        <w:tc>
          <w:tcPr>
            <w:tcW w:w="1072" w:type="pct"/>
            <w:vMerge w:val="restar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过程（</w:t>
            </w:r>
            <w:r>
              <w:rPr>
                <w:rFonts w:ascii="Times New Roman" w:eastAsia="仿宋_GB2312" w:hAnsi="Times New Roman" w:cs="Times New Roman"/>
                <w:kern w:val="0"/>
                <w:sz w:val="22"/>
                <w:szCs w:val="22"/>
              </w:rPr>
              <w:t>30</w:t>
            </w:r>
            <w:r>
              <w:rPr>
                <w:rFonts w:ascii="Times New Roman" w:eastAsia="仿宋_GB2312" w:hAnsi="Times New Roman" w:cs="Times New Roman"/>
                <w:kern w:val="0"/>
                <w:sz w:val="22"/>
                <w:szCs w:val="22"/>
              </w:rPr>
              <w:t>分）</w:t>
            </w:r>
          </w:p>
        </w:tc>
        <w:tc>
          <w:tcPr>
            <w:tcW w:w="432" w:type="pct"/>
            <w:vMerge w:val="restart"/>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27</w:t>
            </w:r>
            <w:r w:rsidR="00E74089">
              <w:rPr>
                <w:rFonts w:ascii="Times New Roman" w:eastAsia="仿宋_GB2312" w:hAnsi="Times New Roman" w:cs="Times New Roman" w:hint="eastAsia"/>
                <w:kern w:val="0"/>
                <w:sz w:val="22"/>
                <w:szCs w:val="22"/>
              </w:rPr>
              <w:t>.9</w:t>
            </w:r>
          </w:p>
        </w:tc>
        <w:tc>
          <w:tcPr>
            <w:tcW w:w="549" w:type="pct"/>
            <w:vMerge w:val="restart"/>
            <w:tcMar>
              <w:top w:w="12" w:type="dxa"/>
              <w:left w:w="12" w:type="dxa"/>
              <w:right w:w="12" w:type="dxa"/>
            </w:tcMar>
            <w:vAlign w:val="center"/>
          </w:tcPr>
          <w:p w:rsidR="00035F6C" w:rsidRDefault="00E74089" w:rsidP="00E74089">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93</w:t>
            </w:r>
            <w:r w:rsidR="00035F6C">
              <w:rPr>
                <w:rFonts w:ascii="Times New Roman" w:eastAsia="仿宋_GB2312" w:hAnsi="Times New Roman" w:cs="Times New Roman"/>
                <w:kern w:val="0"/>
                <w:sz w:val="22"/>
                <w:szCs w:val="22"/>
              </w:rPr>
              <w:t>%</w:t>
            </w:r>
          </w:p>
        </w:tc>
        <w:tc>
          <w:tcPr>
            <w:tcW w:w="170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预算执行（</w:t>
            </w:r>
            <w:r>
              <w:rPr>
                <w:rFonts w:ascii="Times New Roman" w:eastAsia="仿宋_GB2312" w:hAnsi="Times New Roman" w:cs="Times New Roman"/>
                <w:kern w:val="0"/>
                <w:sz w:val="22"/>
                <w:szCs w:val="22"/>
              </w:rPr>
              <w:t>15</w:t>
            </w:r>
            <w:r>
              <w:rPr>
                <w:rFonts w:ascii="Times New Roman" w:eastAsia="仿宋_GB2312" w:hAnsi="Times New Roman" w:cs="Times New Roman"/>
                <w:kern w:val="0"/>
                <w:sz w:val="22"/>
                <w:szCs w:val="22"/>
              </w:rPr>
              <w:t>分）</w:t>
            </w:r>
          </w:p>
        </w:tc>
        <w:tc>
          <w:tcPr>
            <w:tcW w:w="553" w:type="pct"/>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12</w:t>
            </w:r>
            <w:r w:rsidR="001A2F90">
              <w:rPr>
                <w:rFonts w:ascii="Times New Roman" w:eastAsia="仿宋_GB2312" w:hAnsi="Times New Roman" w:cs="Times New Roman" w:hint="eastAsia"/>
                <w:kern w:val="0"/>
                <w:sz w:val="22"/>
                <w:szCs w:val="22"/>
              </w:rPr>
              <w:t>.9</w:t>
            </w:r>
          </w:p>
        </w:tc>
        <w:tc>
          <w:tcPr>
            <w:tcW w:w="688" w:type="pct"/>
            <w:tcMar>
              <w:top w:w="12" w:type="dxa"/>
              <w:left w:w="12" w:type="dxa"/>
              <w:right w:w="12" w:type="dxa"/>
            </w:tcMar>
            <w:vAlign w:val="center"/>
          </w:tcPr>
          <w:p w:rsidR="00035F6C" w:rsidRDefault="00D02371"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92</w:t>
            </w:r>
            <w:r w:rsidR="00035F6C">
              <w:rPr>
                <w:rFonts w:ascii="Times New Roman" w:eastAsia="仿宋_GB2312" w:hAnsi="Times New Roman" w:cs="Times New Roman"/>
                <w:kern w:val="0"/>
                <w:sz w:val="22"/>
                <w:szCs w:val="22"/>
              </w:rPr>
              <w:t>%</w:t>
            </w:r>
          </w:p>
        </w:tc>
      </w:tr>
      <w:tr w:rsidR="00035F6C" w:rsidTr="00A41C90">
        <w:trPr>
          <w:trHeight w:val="110"/>
          <w:jc w:val="center"/>
        </w:trPr>
        <w:tc>
          <w:tcPr>
            <w:tcW w:w="1072" w:type="pct"/>
            <w:vMerg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kern w:val="0"/>
                <w:sz w:val="22"/>
                <w:szCs w:val="22"/>
              </w:rPr>
            </w:pPr>
          </w:p>
        </w:tc>
        <w:tc>
          <w:tcPr>
            <w:tcW w:w="432" w:type="pct"/>
            <w:vMerg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kern w:val="0"/>
                <w:sz w:val="22"/>
                <w:szCs w:val="22"/>
              </w:rPr>
            </w:pPr>
          </w:p>
        </w:tc>
        <w:tc>
          <w:tcPr>
            <w:tcW w:w="549" w:type="pct"/>
            <w:vMerge/>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kern w:val="0"/>
                <w:sz w:val="22"/>
                <w:szCs w:val="22"/>
              </w:rPr>
            </w:pPr>
          </w:p>
        </w:tc>
        <w:tc>
          <w:tcPr>
            <w:tcW w:w="170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预算管理（</w:t>
            </w:r>
            <w:r>
              <w:rPr>
                <w:rFonts w:ascii="Times New Roman" w:eastAsia="仿宋_GB2312" w:hAnsi="Times New Roman" w:cs="Times New Roman"/>
                <w:kern w:val="0"/>
                <w:sz w:val="22"/>
                <w:szCs w:val="22"/>
              </w:rPr>
              <w:t>9</w:t>
            </w:r>
            <w:r>
              <w:rPr>
                <w:rFonts w:ascii="Times New Roman" w:eastAsia="仿宋_GB2312" w:hAnsi="Times New Roman" w:cs="Times New Roman"/>
                <w:kern w:val="0"/>
                <w:sz w:val="22"/>
                <w:szCs w:val="22"/>
              </w:rPr>
              <w:t>分）</w:t>
            </w:r>
          </w:p>
        </w:tc>
        <w:tc>
          <w:tcPr>
            <w:tcW w:w="553"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9</w:t>
            </w:r>
          </w:p>
        </w:tc>
        <w:tc>
          <w:tcPr>
            <w:tcW w:w="688"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100.00</w:t>
            </w:r>
            <w:r>
              <w:rPr>
                <w:rFonts w:ascii="Times New Roman" w:eastAsia="仿宋_GB2312" w:hAnsi="Times New Roman" w:cs="Times New Roman"/>
                <w:kern w:val="0"/>
                <w:sz w:val="22"/>
                <w:szCs w:val="22"/>
              </w:rPr>
              <w:t>%</w:t>
            </w:r>
          </w:p>
        </w:tc>
      </w:tr>
      <w:tr w:rsidR="00035F6C" w:rsidTr="00A41C90">
        <w:trPr>
          <w:trHeight w:val="90"/>
          <w:jc w:val="center"/>
        </w:trPr>
        <w:tc>
          <w:tcPr>
            <w:tcW w:w="1072" w:type="pct"/>
            <w:vMerge/>
            <w:tcMar>
              <w:top w:w="12" w:type="dxa"/>
              <w:left w:w="12" w:type="dxa"/>
              <w:right w:w="12" w:type="dxa"/>
            </w:tcMar>
            <w:vAlign w:val="center"/>
          </w:tcPr>
          <w:p w:rsidR="00035F6C" w:rsidRDefault="00035F6C" w:rsidP="00A41C90">
            <w:pPr>
              <w:widowControl/>
              <w:spacing w:line="360" w:lineRule="auto"/>
              <w:jc w:val="center"/>
              <w:rPr>
                <w:rFonts w:ascii="Times New Roman" w:eastAsia="仿宋_GB2312" w:hAnsi="Times New Roman" w:cs="Times New Roman"/>
                <w:sz w:val="22"/>
                <w:szCs w:val="22"/>
              </w:rPr>
            </w:pPr>
          </w:p>
        </w:tc>
        <w:tc>
          <w:tcPr>
            <w:tcW w:w="432" w:type="pct"/>
            <w:vMerge/>
            <w:tcMar>
              <w:top w:w="12" w:type="dxa"/>
              <w:left w:w="12" w:type="dxa"/>
              <w:right w:w="12" w:type="dxa"/>
            </w:tcMar>
            <w:vAlign w:val="center"/>
          </w:tcPr>
          <w:p w:rsidR="00035F6C" w:rsidRDefault="00035F6C" w:rsidP="00A41C90">
            <w:pPr>
              <w:widowControl/>
              <w:spacing w:line="360" w:lineRule="auto"/>
              <w:jc w:val="center"/>
              <w:rPr>
                <w:rFonts w:ascii="Times New Roman" w:eastAsia="仿宋_GB2312" w:hAnsi="Times New Roman" w:cs="Times New Roman"/>
                <w:sz w:val="22"/>
                <w:szCs w:val="22"/>
              </w:rPr>
            </w:pPr>
          </w:p>
        </w:tc>
        <w:tc>
          <w:tcPr>
            <w:tcW w:w="549" w:type="pct"/>
            <w:vMerge/>
            <w:tcMar>
              <w:top w:w="12" w:type="dxa"/>
              <w:left w:w="12" w:type="dxa"/>
              <w:right w:w="12" w:type="dxa"/>
            </w:tcMar>
            <w:vAlign w:val="center"/>
          </w:tcPr>
          <w:p w:rsidR="00035F6C" w:rsidRDefault="00035F6C" w:rsidP="00A41C90">
            <w:pPr>
              <w:widowControl/>
              <w:spacing w:line="360" w:lineRule="auto"/>
              <w:jc w:val="center"/>
              <w:rPr>
                <w:rFonts w:ascii="Times New Roman" w:eastAsia="仿宋_GB2312" w:hAnsi="Times New Roman" w:cs="Times New Roman"/>
                <w:sz w:val="22"/>
                <w:szCs w:val="22"/>
              </w:rPr>
            </w:pPr>
          </w:p>
        </w:tc>
        <w:tc>
          <w:tcPr>
            <w:tcW w:w="170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资产管理（</w:t>
            </w:r>
            <w:r>
              <w:rPr>
                <w:rFonts w:ascii="Times New Roman" w:eastAsia="仿宋_GB2312" w:hAnsi="Times New Roman" w:cs="Times New Roman"/>
                <w:kern w:val="0"/>
                <w:sz w:val="22"/>
                <w:szCs w:val="22"/>
              </w:rPr>
              <w:t>6</w:t>
            </w:r>
            <w:r>
              <w:rPr>
                <w:rFonts w:ascii="Times New Roman" w:eastAsia="仿宋_GB2312" w:hAnsi="Times New Roman" w:cs="Times New Roman"/>
                <w:kern w:val="0"/>
                <w:sz w:val="22"/>
                <w:szCs w:val="22"/>
              </w:rPr>
              <w:t>分）</w:t>
            </w:r>
          </w:p>
        </w:tc>
        <w:tc>
          <w:tcPr>
            <w:tcW w:w="553"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6</w:t>
            </w:r>
          </w:p>
        </w:tc>
        <w:tc>
          <w:tcPr>
            <w:tcW w:w="688"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100</w:t>
            </w:r>
            <w:r>
              <w:rPr>
                <w:rFonts w:ascii="Times New Roman" w:eastAsia="仿宋_GB2312" w:hAnsi="Times New Roman" w:cs="Times New Roman" w:hint="eastAsia"/>
                <w:kern w:val="0"/>
                <w:sz w:val="22"/>
                <w:szCs w:val="22"/>
              </w:rPr>
              <w:t>.00</w:t>
            </w:r>
            <w:r>
              <w:rPr>
                <w:rFonts w:ascii="Times New Roman" w:eastAsia="仿宋_GB2312" w:hAnsi="Times New Roman" w:cs="Times New Roman"/>
                <w:kern w:val="0"/>
                <w:sz w:val="22"/>
                <w:szCs w:val="22"/>
              </w:rPr>
              <w:t>%</w:t>
            </w:r>
          </w:p>
        </w:tc>
      </w:tr>
      <w:tr w:rsidR="00035F6C" w:rsidTr="00A41C90">
        <w:trPr>
          <w:trHeight w:val="90"/>
          <w:jc w:val="center"/>
        </w:trPr>
        <w:tc>
          <w:tcPr>
            <w:tcW w:w="107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产出（</w:t>
            </w:r>
            <w:r>
              <w:rPr>
                <w:rFonts w:ascii="Times New Roman" w:eastAsia="仿宋_GB2312" w:hAnsi="Times New Roman" w:cs="Times New Roman"/>
                <w:kern w:val="0"/>
                <w:sz w:val="22"/>
                <w:szCs w:val="22"/>
              </w:rPr>
              <w:t>30</w:t>
            </w:r>
            <w:r>
              <w:rPr>
                <w:rFonts w:ascii="Times New Roman" w:eastAsia="仿宋_GB2312" w:hAnsi="Times New Roman" w:cs="Times New Roman"/>
                <w:kern w:val="0"/>
                <w:sz w:val="22"/>
                <w:szCs w:val="22"/>
              </w:rPr>
              <w:t>分）</w:t>
            </w:r>
          </w:p>
        </w:tc>
        <w:tc>
          <w:tcPr>
            <w:tcW w:w="432" w:type="pct"/>
            <w:tcMar>
              <w:top w:w="12" w:type="dxa"/>
              <w:left w:w="12" w:type="dxa"/>
              <w:right w:w="12" w:type="dxa"/>
            </w:tcMar>
            <w:vAlign w:val="center"/>
          </w:tcPr>
          <w:p w:rsidR="00035F6C" w:rsidRDefault="00E74089"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29.4</w:t>
            </w:r>
          </w:p>
        </w:tc>
        <w:tc>
          <w:tcPr>
            <w:tcW w:w="549" w:type="pct"/>
            <w:tcMar>
              <w:top w:w="12" w:type="dxa"/>
              <w:left w:w="12" w:type="dxa"/>
              <w:right w:w="12" w:type="dxa"/>
            </w:tcMar>
            <w:vAlign w:val="center"/>
          </w:tcPr>
          <w:p w:rsidR="00035F6C" w:rsidRDefault="00E74089"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98</w:t>
            </w:r>
            <w:r w:rsidR="00035F6C">
              <w:rPr>
                <w:rFonts w:ascii="Times New Roman" w:eastAsia="仿宋_GB2312" w:hAnsi="Times New Roman" w:cs="Times New Roman"/>
                <w:kern w:val="0"/>
                <w:sz w:val="22"/>
                <w:szCs w:val="22"/>
              </w:rPr>
              <w:t>%</w:t>
            </w:r>
          </w:p>
        </w:tc>
        <w:tc>
          <w:tcPr>
            <w:tcW w:w="170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职责履行（</w:t>
            </w:r>
            <w:r>
              <w:rPr>
                <w:rFonts w:ascii="Times New Roman" w:eastAsia="仿宋_GB2312" w:hAnsi="Times New Roman" w:cs="Times New Roman"/>
                <w:kern w:val="0"/>
                <w:sz w:val="22"/>
                <w:szCs w:val="22"/>
              </w:rPr>
              <w:t>30</w:t>
            </w:r>
            <w:r>
              <w:rPr>
                <w:rFonts w:ascii="Times New Roman" w:eastAsia="仿宋_GB2312" w:hAnsi="Times New Roman" w:cs="Times New Roman"/>
                <w:kern w:val="0"/>
                <w:sz w:val="22"/>
                <w:szCs w:val="22"/>
              </w:rPr>
              <w:t>分）</w:t>
            </w:r>
          </w:p>
        </w:tc>
        <w:tc>
          <w:tcPr>
            <w:tcW w:w="553" w:type="pct"/>
            <w:noWrap/>
            <w:tcMar>
              <w:top w:w="12" w:type="dxa"/>
              <w:left w:w="12" w:type="dxa"/>
              <w:right w:w="12" w:type="dxa"/>
            </w:tcMar>
            <w:vAlign w:val="center"/>
          </w:tcPr>
          <w:p w:rsidR="00035F6C" w:rsidRDefault="00D02371"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29.4</w:t>
            </w:r>
          </w:p>
        </w:tc>
        <w:tc>
          <w:tcPr>
            <w:tcW w:w="688" w:type="pct"/>
            <w:tcMar>
              <w:top w:w="12" w:type="dxa"/>
              <w:left w:w="12" w:type="dxa"/>
              <w:right w:w="12" w:type="dxa"/>
            </w:tcMar>
            <w:vAlign w:val="center"/>
          </w:tcPr>
          <w:p w:rsidR="00035F6C" w:rsidRDefault="00D02371"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98</w:t>
            </w:r>
            <w:r w:rsidR="00035F6C">
              <w:rPr>
                <w:rFonts w:ascii="Times New Roman" w:eastAsia="仿宋_GB2312" w:hAnsi="Times New Roman" w:cs="Times New Roman"/>
                <w:kern w:val="0"/>
                <w:sz w:val="22"/>
                <w:szCs w:val="22"/>
              </w:rPr>
              <w:t>%</w:t>
            </w:r>
          </w:p>
        </w:tc>
      </w:tr>
      <w:tr w:rsidR="00035F6C" w:rsidTr="00A41C90">
        <w:trPr>
          <w:trHeight w:val="90"/>
          <w:jc w:val="center"/>
        </w:trPr>
        <w:tc>
          <w:tcPr>
            <w:tcW w:w="107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效果（</w:t>
            </w:r>
            <w:r>
              <w:rPr>
                <w:rFonts w:ascii="Times New Roman" w:eastAsia="仿宋_GB2312" w:hAnsi="Times New Roman" w:cs="Times New Roman"/>
                <w:kern w:val="0"/>
                <w:sz w:val="22"/>
                <w:szCs w:val="22"/>
              </w:rPr>
              <w:t>30</w:t>
            </w:r>
            <w:r>
              <w:rPr>
                <w:rFonts w:ascii="Times New Roman" w:eastAsia="仿宋_GB2312" w:hAnsi="Times New Roman" w:cs="Times New Roman"/>
                <w:kern w:val="0"/>
                <w:sz w:val="22"/>
                <w:szCs w:val="22"/>
              </w:rPr>
              <w:t>分）</w:t>
            </w:r>
          </w:p>
        </w:tc>
        <w:tc>
          <w:tcPr>
            <w:tcW w:w="720" w:type="dxa"/>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30</w:t>
            </w:r>
          </w:p>
        </w:tc>
        <w:tc>
          <w:tcPr>
            <w:tcW w:w="915" w:type="dxa"/>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30</w:t>
            </w:r>
            <w:r w:rsidR="00035F6C">
              <w:rPr>
                <w:rFonts w:ascii="Times New Roman" w:eastAsia="仿宋_GB2312" w:hAnsi="Times New Roman" w:cs="Times New Roman"/>
                <w:kern w:val="0"/>
                <w:sz w:val="22"/>
                <w:szCs w:val="22"/>
              </w:rPr>
              <w:t>%</w:t>
            </w:r>
          </w:p>
        </w:tc>
        <w:tc>
          <w:tcPr>
            <w:tcW w:w="170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履职效益（</w:t>
            </w:r>
            <w:r>
              <w:rPr>
                <w:rFonts w:ascii="Times New Roman" w:eastAsia="仿宋_GB2312" w:hAnsi="Times New Roman" w:cs="Times New Roman"/>
                <w:kern w:val="0"/>
                <w:sz w:val="22"/>
                <w:szCs w:val="22"/>
              </w:rPr>
              <w:t>30</w:t>
            </w:r>
            <w:r>
              <w:rPr>
                <w:rFonts w:ascii="Times New Roman" w:eastAsia="仿宋_GB2312" w:hAnsi="Times New Roman" w:cs="Times New Roman"/>
                <w:kern w:val="0"/>
                <w:sz w:val="22"/>
                <w:szCs w:val="22"/>
              </w:rPr>
              <w:t>分）</w:t>
            </w:r>
          </w:p>
        </w:tc>
        <w:tc>
          <w:tcPr>
            <w:tcW w:w="553" w:type="pct"/>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30</w:t>
            </w:r>
          </w:p>
        </w:tc>
        <w:tc>
          <w:tcPr>
            <w:tcW w:w="688" w:type="pct"/>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hint="eastAsia"/>
                <w:kern w:val="0"/>
                <w:sz w:val="22"/>
                <w:szCs w:val="22"/>
              </w:rPr>
              <w:t>100</w:t>
            </w:r>
            <w:r w:rsidR="00035F6C">
              <w:rPr>
                <w:rFonts w:ascii="Times New Roman" w:eastAsia="仿宋_GB2312" w:hAnsi="Times New Roman" w:cs="Times New Roman"/>
                <w:kern w:val="0"/>
                <w:sz w:val="22"/>
                <w:szCs w:val="22"/>
              </w:rPr>
              <w:t>%</w:t>
            </w:r>
          </w:p>
        </w:tc>
      </w:tr>
      <w:tr w:rsidR="00035F6C" w:rsidTr="00A41C90">
        <w:trPr>
          <w:trHeight w:val="90"/>
          <w:jc w:val="center"/>
        </w:trPr>
        <w:tc>
          <w:tcPr>
            <w:tcW w:w="1072" w:type="pct"/>
            <w:tcMar>
              <w:top w:w="12" w:type="dxa"/>
              <w:left w:w="12" w:type="dxa"/>
              <w:right w:w="12" w:type="dxa"/>
            </w:tcMar>
            <w:vAlign w:val="center"/>
          </w:tcPr>
          <w:p w:rsidR="00035F6C" w:rsidRDefault="00035F6C" w:rsidP="00A41C90">
            <w:pPr>
              <w:widowControl/>
              <w:spacing w:line="360" w:lineRule="auto"/>
              <w:jc w:val="center"/>
              <w:textAlignment w:val="center"/>
              <w:rPr>
                <w:rFonts w:ascii="Times New Roman" w:eastAsia="仿宋_GB2312" w:hAnsi="Times New Roman" w:cs="Times New Roman"/>
                <w:b/>
                <w:sz w:val="22"/>
                <w:szCs w:val="22"/>
              </w:rPr>
            </w:pPr>
            <w:r>
              <w:rPr>
                <w:rFonts w:ascii="Times New Roman" w:eastAsia="黑体" w:hAnsi="Times New Roman" w:cs="Times New Roman"/>
                <w:kern w:val="0"/>
                <w:sz w:val="22"/>
                <w:szCs w:val="22"/>
              </w:rPr>
              <w:t>合计</w:t>
            </w:r>
          </w:p>
        </w:tc>
        <w:tc>
          <w:tcPr>
            <w:tcW w:w="432" w:type="pct"/>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宋体" w:hAnsi="Times New Roman" w:cs="Times New Roman"/>
                <w:b/>
                <w:sz w:val="22"/>
                <w:szCs w:val="22"/>
              </w:rPr>
            </w:pPr>
            <w:r>
              <w:rPr>
                <w:rFonts w:ascii="Times New Roman" w:eastAsia="宋体" w:hAnsi="Times New Roman" w:cs="Times New Roman" w:hint="eastAsia"/>
                <w:b/>
                <w:kern w:val="0"/>
                <w:sz w:val="22"/>
                <w:szCs w:val="22"/>
              </w:rPr>
              <w:t>97</w:t>
            </w:r>
            <w:r w:rsidR="00E74089">
              <w:rPr>
                <w:rFonts w:ascii="Times New Roman" w:eastAsia="宋体" w:hAnsi="Times New Roman" w:cs="Times New Roman" w:hint="eastAsia"/>
                <w:b/>
                <w:kern w:val="0"/>
                <w:sz w:val="22"/>
                <w:szCs w:val="22"/>
              </w:rPr>
              <w:t>.3</w:t>
            </w:r>
          </w:p>
        </w:tc>
        <w:tc>
          <w:tcPr>
            <w:tcW w:w="549" w:type="pct"/>
            <w:tcMar>
              <w:top w:w="12" w:type="dxa"/>
              <w:left w:w="12" w:type="dxa"/>
              <w:right w:w="12" w:type="dxa"/>
            </w:tcMar>
            <w:vAlign w:val="center"/>
          </w:tcPr>
          <w:p w:rsidR="00035F6C" w:rsidRDefault="00BC685D" w:rsidP="00A41C90">
            <w:pPr>
              <w:widowControl/>
              <w:spacing w:line="360" w:lineRule="auto"/>
              <w:jc w:val="center"/>
              <w:textAlignment w:val="center"/>
              <w:rPr>
                <w:rFonts w:ascii="Times New Roman" w:eastAsia="仿宋_GB2312" w:hAnsi="Times New Roman" w:cs="Times New Roman"/>
                <w:b/>
                <w:sz w:val="22"/>
                <w:szCs w:val="22"/>
              </w:rPr>
            </w:pPr>
            <w:r>
              <w:rPr>
                <w:rFonts w:ascii="Times New Roman" w:eastAsia="宋体" w:hAnsi="Times New Roman" w:cs="Times New Roman" w:hint="eastAsia"/>
                <w:b/>
                <w:kern w:val="0"/>
                <w:sz w:val="22"/>
                <w:szCs w:val="22"/>
              </w:rPr>
              <w:t>97</w:t>
            </w:r>
            <w:r w:rsidR="00E74089">
              <w:rPr>
                <w:rFonts w:ascii="Times New Roman" w:eastAsia="宋体" w:hAnsi="Times New Roman" w:cs="Times New Roman" w:hint="eastAsia"/>
                <w:b/>
                <w:kern w:val="0"/>
                <w:sz w:val="22"/>
                <w:szCs w:val="22"/>
              </w:rPr>
              <w:t>.3</w:t>
            </w:r>
            <w:r w:rsidR="00035F6C">
              <w:rPr>
                <w:rFonts w:ascii="Times New Roman" w:eastAsia="宋体" w:hAnsi="Times New Roman" w:cs="Times New Roman"/>
                <w:b/>
                <w:kern w:val="0"/>
                <w:sz w:val="22"/>
                <w:szCs w:val="22"/>
              </w:rPr>
              <w:t>%</w:t>
            </w:r>
          </w:p>
        </w:tc>
        <w:tc>
          <w:tcPr>
            <w:tcW w:w="1702" w:type="pct"/>
            <w:tcMar>
              <w:top w:w="12" w:type="dxa"/>
              <w:left w:w="12" w:type="dxa"/>
              <w:right w:w="12" w:type="dxa"/>
            </w:tcMar>
            <w:vAlign w:val="center"/>
          </w:tcPr>
          <w:p w:rsidR="00035F6C" w:rsidRDefault="00035F6C" w:rsidP="00A41C90">
            <w:pPr>
              <w:widowControl/>
              <w:spacing w:line="360" w:lineRule="auto"/>
              <w:jc w:val="center"/>
              <w:rPr>
                <w:rFonts w:ascii="Times New Roman" w:eastAsia="仿宋_GB2312" w:hAnsi="Times New Roman" w:cs="Times New Roman"/>
                <w:sz w:val="22"/>
                <w:szCs w:val="22"/>
              </w:rPr>
            </w:pPr>
          </w:p>
        </w:tc>
        <w:tc>
          <w:tcPr>
            <w:tcW w:w="980" w:type="dxa"/>
            <w:tcMar>
              <w:top w:w="12" w:type="dxa"/>
              <w:left w:w="12" w:type="dxa"/>
              <w:right w:w="12" w:type="dxa"/>
            </w:tcMar>
            <w:vAlign w:val="center"/>
          </w:tcPr>
          <w:p w:rsidR="00035F6C" w:rsidRDefault="00BC685D" w:rsidP="00E74089">
            <w:pPr>
              <w:widowControl/>
              <w:spacing w:line="360" w:lineRule="auto"/>
              <w:jc w:val="center"/>
              <w:textAlignment w:val="center"/>
              <w:rPr>
                <w:rFonts w:ascii="Times New Roman" w:eastAsia="宋体" w:hAnsi="Times New Roman" w:cs="Times New Roman"/>
                <w:sz w:val="22"/>
                <w:szCs w:val="22"/>
              </w:rPr>
            </w:pPr>
            <w:r>
              <w:rPr>
                <w:rFonts w:ascii="Times New Roman" w:eastAsia="宋体" w:hAnsi="Times New Roman" w:cs="Times New Roman" w:hint="eastAsia"/>
                <w:b/>
                <w:kern w:val="0"/>
                <w:sz w:val="22"/>
                <w:szCs w:val="22"/>
              </w:rPr>
              <w:t>97</w:t>
            </w:r>
            <w:r w:rsidR="001A2F90">
              <w:rPr>
                <w:rFonts w:ascii="Times New Roman" w:eastAsia="宋体" w:hAnsi="Times New Roman" w:cs="Times New Roman" w:hint="eastAsia"/>
                <w:b/>
                <w:kern w:val="0"/>
                <w:sz w:val="22"/>
                <w:szCs w:val="22"/>
              </w:rPr>
              <w:t>.</w:t>
            </w:r>
            <w:r w:rsidR="00E74089">
              <w:rPr>
                <w:rFonts w:ascii="Times New Roman" w:eastAsia="宋体" w:hAnsi="Times New Roman" w:cs="Times New Roman" w:hint="eastAsia"/>
                <w:b/>
                <w:kern w:val="0"/>
                <w:sz w:val="22"/>
                <w:szCs w:val="22"/>
              </w:rPr>
              <w:t>3</w:t>
            </w:r>
          </w:p>
        </w:tc>
        <w:tc>
          <w:tcPr>
            <w:tcW w:w="1221" w:type="dxa"/>
            <w:tcMar>
              <w:top w:w="12" w:type="dxa"/>
              <w:left w:w="12" w:type="dxa"/>
              <w:right w:w="12" w:type="dxa"/>
            </w:tcMar>
            <w:vAlign w:val="center"/>
          </w:tcPr>
          <w:p w:rsidR="00035F6C" w:rsidRDefault="00BC685D" w:rsidP="00E74089">
            <w:pPr>
              <w:widowControl/>
              <w:spacing w:line="360" w:lineRule="auto"/>
              <w:jc w:val="center"/>
              <w:textAlignment w:val="center"/>
              <w:rPr>
                <w:rFonts w:ascii="Times New Roman" w:eastAsia="宋体" w:hAnsi="Times New Roman" w:cs="Times New Roman"/>
                <w:sz w:val="22"/>
                <w:szCs w:val="22"/>
              </w:rPr>
            </w:pPr>
            <w:r>
              <w:rPr>
                <w:rFonts w:ascii="Times New Roman" w:eastAsia="宋体" w:hAnsi="Times New Roman" w:cs="Times New Roman" w:hint="eastAsia"/>
                <w:b/>
                <w:kern w:val="0"/>
                <w:sz w:val="22"/>
                <w:szCs w:val="22"/>
              </w:rPr>
              <w:t>97</w:t>
            </w:r>
            <w:r w:rsidR="001A2F90">
              <w:rPr>
                <w:rFonts w:ascii="Times New Roman" w:eastAsia="宋体" w:hAnsi="Times New Roman" w:cs="Times New Roman" w:hint="eastAsia"/>
                <w:b/>
                <w:kern w:val="0"/>
                <w:sz w:val="22"/>
                <w:szCs w:val="22"/>
              </w:rPr>
              <w:t>.</w:t>
            </w:r>
            <w:r w:rsidR="00E74089">
              <w:rPr>
                <w:rFonts w:ascii="Times New Roman" w:eastAsia="宋体" w:hAnsi="Times New Roman" w:cs="Times New Roman" w:hint="eastAsia"/>
                <w:b/>
                <w:kern w:val="0"/>
                <w:sz w:val="22"/>
                <w:szCs w:val="22"/>
              </w:rPr>
              <w:t>3</w:t>
            </w:r>
            <w:r w:rsidR="00035F6C">
              <w:rPr>
                <w:rFonts w:ascii="Times New Roman" w:eastAsia="宋体" w:hAnsi="Times New Roman" w:cs="Times New Roman"/>
                <w:b/>
                <w:kern w:val="0"/>
                <w:sz w:val="22"/>
                <w:szCs w:val="22"/>
              </w:rPr>
              <w:t>%</w:t>
            </w:r>
          </w:p>
        </w:tc>
      </w:tr>
    </w:tbl>
    <w:p w:rsidR="00035F6C" w:rsidRPr="00035F6C" w:rsidRDefault="00035F6C" w:rsidP="00035F6C">
      <w:pPr>
        <w:pStyle w:val="a2"/>
        <w:ind w:firstLine="560"/>
        <w:rPr>
          <w:lang w:val="en-US"/>
        </w:rPr>
      </w:pPr>
    </w:p>
    <w:p w:rsidR="00EE0469" w:rsidRDefault="00EE0469" w:rsidP="00EE0469">
      <w:pPr>
        <w:pStyle w:val="1"/>
        <w:numPr>
          <w:ilvl w:val="0"/>
          <w:numId w:val="0"/>
        </w:numPr>
        <w:spacing w:line="520" w:lineRule="exact"/>
        <w:ind w:left="640"/>
        <w:rPr>
          <w:rFonts w:eastAsia="楷体_GB2312"/>
          <w:kern w:val="0"/>
          <w:szCs w:val="32"/>
          <w:lang w:val="en-US"/>
        </w:rPr>
      </w:pPr>
      <w:r>
        <w:rPr>
          <w:rFonts w:eastAsia="楷体_GB2312" w:hint="eastAsia"/>
          <w:kern w:val="0"/>
          <w:szCs w:val="32"/>
          <w:lang w:val="en-US"/>
        </w:rPr>
        <w:t>（二）绩效分析</w:t>
      </w:r>
    </w:p>
    <w:p w:rsidR="00A41C90" w:rsidRDefault="00A41C90" w:rsidP="00A41C90">
      <w:pPr>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1.</w:t>
      </w:r>
      <w:r>
        <w:rPr>
          <w:rFonts w:ascii="Times New Roman" w:eastAsia="仿宋" w:hAnsi="Times New Roman" w:cs="Times New Roman"/>
          <w:b/>
          <w:bCs/>
          <w:sz w:val="32"/>
          <w:szCs w:val="32"/>
        </w:rPr>
        <w:t>项目投入情况</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该指标下设2个二级指标，分别为“目标设定”、“预算编制”。</w:t>
      </w:r>
    </w:p>
    <w:p w:rsidR="00A41C90" w:rsidRDefault="00A41C90" w:rsidP="00A41C90">
      <w:pPr>
        <w:snapToGrid w:val="0"/>
        <w:jc w:val="center"/>
        <w:rPr>
          <w:rFonts w:ascii="Times New Roman" w:eastAsia="黑体" w:hAnsi="Times New Roman" w:cs="Times New Roman"/>
          <w:sz w:val="22"/>
          <w:szCs w:val="22"/>
        </w:rPr>
      </w:pPr>
      <w:r>
        <w:rPr>
          <w:rFonts w:ascii="Times New Roman" w:eastAsia="黑体" w:hAnsi="Times New Roman" w:cs="Times New Roman"/>
          <w:sz w:val="22"/>
          <w:szCs w:val="22"/>
        </w:rPr>
        <w:lastRenderedPageBreak/>
        <w:t>表</w:t>
      </w:r>
      <w:r>
        <w:rPr>
          <w:rFonts w:ascii="Times New Roman" w:eastAsia="黑体" w:hAnsi="Times New Roman" w:cs="Times New Roman"/>
          <w:sz w:val="22"/>
          <w:szCs w:val="22"/>
        </w:rPr>
        <w:t xml:space="preserve">3.2  </w:t>
      </w:r>
      <w:r>
        <w:rPr>
          <w:rFonts w:ascii="Times New Roman" w:eastAsia="黑体" w:hAnsi="Times New Roman" w:cs="Times New Roman"/>
          <w:sz w:val="22"/>
          <w:szCs w:val="22"/>
        </w:rPr>
        <w:t>项目投入二级、三级指标得分情况表</w:t>
      </w:r>
    </w:p>
    <w:tbl>
      <w:tblPr>
        <w:tblW w:w="4998" w:type="pct"/>
        <w:tblCellMar>
          <w:left w:w="0" w:type="dxa"/>
          <w:right w:w="0" w:type="dxa"/>
        </w:tblCellMar>
        <w:tblLook w:val="04A0"/>
      </w:tblPr>
      <w:tblGrid>
        <w:gridCol w:w="1646"/>
        <w:gridCol w:w="981"/>
        <w:gridCol w:w="983"/>
        <w:gridCol w:w="2571"/>
        <w:gridCol w:w="1073"/>
        <w:gridCol w:w="1073"/>
      </w:tblGrid>
      <w:tr w:rsidR="00A41C90" w:rsidTr="00A41C90">
        <w:trPr>
          <w:trHeight w:val="312"/>
        </w:trPr>
        <w:tc>
          <w:tcPr>
            <w:tcW w:w="988" w:type="pct"/>
            <w:tcBorders>
              <w:top w:val="single" w:sz="4" w:space="0" w:color="auto"/>
              <w:left w:val="single" w:sz="4" w:space="0" w:color="auto"/>
              <w:bottom w:val="single" w:sz="4" w:space="0" w:color="auto"/>
              <w:right w:val="single" w:sz="4" w:space="0" w:color="auto"/>
            </w:tcBorders>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sz w:val="22"/>
                <w:szCs w:val="22"/>
              </w:rPr>
            </w:pPr>
            <w:r>
              <w:rPr>
                <w:rFonts w:ascii="Times New Roman" w:eastAsia="黑体" w:hAnsi="Times New Roman" w:cs="Times New Roman"/>
                <w:bCs/>
                <w:kern w:val="0"/>
                <w:sz w:val="22"/>
                <w:szCs w:val="22"/>
              </w:rPr>
              <w:t>二级指标</w:t>
            </w:r>
          </w:p>
        </w:tc>
        <w:tc>
          <w:tcPr>
            <w:tcW w:w="589" w:type="pct"/>
            <w:tcBorders>
              <w:top w:val="single" w:sz="4" w:space="0" w:color="auto"/>
              <w:left w:val="single" w:sz="4" w:space="0" w:color="auto"/>
              <w:bottom w:val="single" w:sz="4" w:space="0" w:color="auto"/>
              <w:right w:val="single" w:sz="4" w:space="0" w:color="auto"/>
            </w:tcBorders>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590" w:type="pct"/>
            <w:tcBorders>
              <w:top w:val="single" w:sz="4" w:space="0" w:color="auto"/>
              <w:left w:val="single" w:sz="4" w:space="0" w:color="auto"/>
              <w:bottom w:val="single" w:sz="4" w:space="0" w:color="auto"/>
              <w:right w:val="single" w:sz="4" w:space="0" w:color="auto"/>
            </w:tcBorders>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c>
          <w:tcPr>
            <w:tcW w:w="1544" w:type="pct"/>
            <w:tcBorders>
              <w:top w:val="single" w:sz="4" w:space="0" w:color="auto"/>
              <w:left w:val="single" w:sz="4" w:space="0" w:color="auto"/>
              <w:bottom w:val="single" w:sz="4" w:space="0" w:color="auto"/>
              <w:right w:val="single" w:sz="4" w:space="0" w:color="auto"/>
            </w:tcBorders>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三级指标</w:t>
            </w:r>
          </w:p>
        </w:tc>
        <w:tc>
          <w:tcPr>
            <w:tcW w:w="644" w:type="pct"/>
            <w:tcBorders>
              <w:top w:val="single" w:sz="4" w:space="0" w:color="auto"/>
              <w:left w:val="single" w:sz="4" w:space="0" w:color="auto"/>
              <w:bottom w:val="single" w:sz="4" w:space="0" w:color="auto"/>
              <w:right w:val="single" w:sz="4" w:space="0" w:color="auto"/>
            </w:tcBorders>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644" w:type="pct"/>
            <w:tcBorders>
              <w:top w:val="single" w:sz="4" w:space="0" w:color="auto"/>
              <w:left w:val="single" w:sz="4" w:space="0" w:color="auto"/>
              <w:bottom w:val="single" w:sz="4" w:space="0" w:color="auto"/>
              <w:right w:val="single" w:sz="4" w:space="0" w:color="auto"/>
            </w:tcBorders>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r>
      <w:tr w:rsidR="00A41C90" w:rsidTr="00A41C90">
        <w:trPr>
          <w:trHeight w:val="312"/>
        </w:trPr>
        <w:tc>
          <w:tcPr>
            <w:tcW w:w="988" w:type="pct"/>
            <w:vMerge w:val="restart"/>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目标设定（</w:t>
            </w:r>
            <w:r>
              <w:rPr>
                <w:rStyle w:val="font21"/>
                <w:rFonts w:eastAsia="宋体"/>
                <w:sz w:val="22"/>
                <w:szCs w:val="22"/>
              </w:rPr>
              <w:t>5</w:t>
            </w:r>
            <w:r>
              <w:rPr>
                <w:rFonts w:ascii="Times New Roman" w:eastAsia="仿宋_GB2312" w:hAnsi="Times New Roman" w:cs="Times New Roman"/>
                <w:kern w:val="0"/>
                <w:sz w:val="22"/>
                <w:szCs w:val="22"/>
              </w:rPr>
              <w:t>分）</w:t>
            </w:r>
          </w:p>
        </w:tc>
        <w:tc>
          <w:tcPr>
            <w:tcW w:w="589" w:type="pct"/>
            <w:vMerge w:val="restar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5</w:t>
            </w:r>
          </w:p>
        </w:tc>
        <w:tc>
          <w:tcPr>
            <w:tcW w:w="590" w:type="pct"/>
            <w:vMerge w:val="restar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Pr>
                <w:rFonts w:ascii="Times New Roman" w:eastAsia="仿宋_GB2312" w:hAnsi="Times New Roman" w:cs="Times New Roman"/>
                <w:kern w:val="0"/>
                <w:sz w:val="22"/>
                <w:szCs w:val="22"/>
              </w:rPr>
              <w:t>%</w:t>
            </w:r>
          </w:p>
        </w:tc>
        <w:tc>
          <w:tcPr>
            <w:tcW w:w="15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绩效目标合理性（</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3</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988" w:type="pct"/>
            <w:vMerge/>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1C90" w:rsidRDefault="00A41C90" w:rsidP="00A41C90">
            <w:pPr>
              <w:widowControl/>
              <w:spacing w:line="360" w:lineRule="auto"/>
              <w:jc w:val="center"/>
              <w:rPr>
                <w:rFonts w:ascii="Times New Roman" w:eastAsia="仿宋_GB2312" w:hAnsi="Times New Roman" w:cs="Times New Roman"/>
                <w:sz w:val="22"/>
                <w:szCs w:val="22"/>
              </w:rPr>
            </w:pPr>
          </w:p>
        </w:tc>
        <w:tc>
          <w:tcPr>
            <w:tcW w:w="589" w:type="pct"/>
            <w:vMerge/>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90" w:type="pct"/>
            <w:vMerge/>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5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绩效指标明确性（</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2</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w:t>
            </w:r>
            <w:r>
              <w:rPr>
                <w:rFonts w:ascii="Times New Roman" w:eastAsia="仿宋_GB2312" w:hAnsi="Times New Roman" w:cs="Times New Roman"/>
                <w:kern w:val="0"/>
                <w:sz w:val="22"/>
                <w:szCs w:val="22"/>
              </w:rPr>
              <w:t>0%</w:t>
            </w:r>
          </w:p>
        </w:tc>
      </w:tr>
      <w:tr w:rsidR="00A41C90" w:rsidTr="00A41C90">
        <w:trPr>
          <w:trHeight w:val="312"/>
        </w:trPr>
        <w:tc>
          <w:tcPr>
            <w:tcW w:w="988" w:type="pct"/>
            <w:vMerge w:val="restart"/>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sz w:val="22"/>
                <w:szCs w:val="22"/>
              </w:rPr>
              <w:t>预算编制（</w:t>
            </w:r>
            <w:r>
              <w:rPr>
                <w:rFonts w:ascii="Times New Roman" w:eastAsia="仿宋_GB2312" w:hAnsi="Times New Roman" w:cs="Times New Roman"/>
                <w:sz w:val="22"/>
                <w:szCs w:val="22"/>
              </w:rPr>
              <w:t>5</w:t>
            </w:r>
            <w:r>
              <w:rPr>
                <w:rFonts w:ascii="Times New Roman" w:eastAsia="仿宋_GB2312" w:hAnsi="Times New Roman" w:cs="Times New Roman"/>
                <w:sz w:val="22"/>
                <w:szCs w:val="22"/>
              </w:rPr>
              <w:t>分）</w:t>
            </w:r>
          </w:p>
        </w:tc>
        <w:tc>
          <w:tcPr>
            <w:tcW w:w="589" w:type="pct"/>
            <w:vMerge w:val="restar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5</w:t>
            </w:r>
          </w:p>
        </w:tc>
        <w:tc>
          <w:tcPr>
            <w:tcW w:w="590" w:type="pct"/>
            <w:vMerge w:val="restar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Pr>
                <w:rFonts w:ascii="Times New Roman" w:eastAsia="仿宋_GB2312" w:hAnsi="Times New Roman" w:cs="Times New Roman"/>
                <w:kern w:val="0"/>
                <w:sz w:val="22"/>
                <w:szCs w:val="22"/>
              </w:rPr>
              <w:t>%</w:t>
            </w:r>
          </w:p>
        </w:tc>
        <w:tc>
          <w:tcPr>
            <w:tcW w:w="15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预算编制合理性（</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3</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Pr>
                <w:rFonts w:ascii="Times New Roman" w:eastAsia="仿宋_GB2312" w:hAnsi="Times New Roman" w:cs="Times New Roman"/>
                <w:kern w:val="0"/>
                <w:sz w:val="22"/>
                <w:szCs w:val="22"/>
              </w:rPr>
              <w:t>%</w:t>
            </w:r>
          </w:p>
        </w:tc>
      </w:tr>
      <w:tr w:rsidR="00A41C90" w:rsidTr="00A41C90">
        <w:trPr>
          <w:trHeight w:val="312"/>
        </w:trPr>
        <w:tc>
          <w:tcPr>
            <w:tcW w:w="988" w:type="pct"/>
            <w:vMerge/>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1C90" w:rsidRDefault="00A41C90" w:rsidP="00A41C90">
            <w:pPr>
              <w:widowControl/>
              <w:spacing w:line="360" w:lineRule="auto"/>
              <w:jc w:val="center"/>
              <w:rPr>
                <w:rFonts w:ascii="Times New Roman" w:eastAsia="仿宋_GB2312" w:hAnsi="Times New Roman" w:cs="Times New Roman"/>
                <w:sz w:val="22"/>
                <w:szCs w:val="22"/>
              </w:rPr>
            </w:pPr>
          </w:p>
        </w:tc>
        <w:tc>
          <w:tcPr>
            <w:tcW w:w="589" w:type="pct"/>
            <w:vMerge/>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90" w:type="pct"/>
            <w:vMerge/>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5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决策程序规范性（</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2</w:t>
            </w:r>
          </w:p>
        </w:tc>
        <w:tc>
          <w:tcPr>
            <w:tcW w:w="644" w:type="pct"/>
            <w:tcBorders>
              <w:top w:val="single" w:sz="4" w:space="0" w:color="auto"/>
              <w:left w:val="single" w:sz="4" w:space="0" w:color="auto"/>
              <w:bottom w:val="single" w:sz="4" w:space="0" w:color="auto"/>
              <w:right w:val="single" w:sz="4" w:space="0" w:color="auto"/>
            </w:tcBorders>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bl>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（1）目标设定。主要对部门整体绩效目标的合理性和绩效指标的明确性进行评价。</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①绩效目标合理性：指标满分3分，评价得分3分，得分率为100%。文旅局2020年市直单位业务目标、十五大攻坚任务、2个专项资金整合，作为整体支出绩效目标，对照部门三定方案、《青岛市十三五发展规划纲要》、十五大攻势作战方案等，市文旅局设立的整体绩效目标符合国家法律法规、国民经济和社会发展总体规划，符合部门“三定”方案确定的职责，符合市委市政府的决策部署和工作要求，符合十五个攻势实施规划。</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②绩效指标明确性：指标满分2分，评价得分2分，得分率为100%。青岛市文旅局2020年度将部门整体绩效目标细化分解为具体的工作任务，在市直单位业务目标中细化分为7项重点目标、1项创优目标，在2个专项资金中，逐项予以细化分解，专项资金的绩效目标均能通过清晰、可衡量的指标值予以体现，与本年度部门预算资金较为匹配。</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（2）预算编制。主要对部门整体预算编制的合理性和决策程序的规范性进行评价。</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①预算编制合理性：指标满分3分，评价得分3分，得</w:t>
      </w:r>
      <w:r w:rsidRPr="00AE0794">
        <w:rPr>
          <w:rFonts w:ascii="仿宋_GB2312" w:eastAsia="仿宋_GB2312" w:hAnsi="Times New Roman" w:cs="Times New Roman" w:hint="eastAsia"/>
          <w:sz w:val="32"/>
          <w:szCs w:val="32"/>
        </w:rPr>
        <w:lastRenderedPageBreak/>
        <w:t>分率为100%。市文旅局2020年预算包括基本支出预算、项目支出预算，基本支出预算中人员经费、公用经费根据编制数、相关定员定额标准确定，项目支出预算根据项目资金预算评审结果确定，2020年度预算和2020年工作计划相匹配。</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②决策程序规范性：指标满分2分，评价得分2分，得分率为100%。经查阅相关会议纪要，对需要评审的项目或方案，均按程序组织预算评审，经过了青岛市文化旅游局党组会、局长办公会议集体研究决策。</w:t>
      </w:r>
    </w:p>
    <w:p w:rsidR="00A41C90" w:rsidRDefault="00A41C90" w:rsidP="00A41C90">
      <w:pPr>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2.</w:t>
      </w:r>
      <w:r>
        <w:rPr>
          <w:rFonts w:ascii="Times New Roman" w:eastAsia="仿宋" w:hAnsi="Times New Roman" w:cs="Times New Roman"/>
          <w:b/>
          <w:bCs/>
          <w:sz w:val="32"/>
          <w:szCs w:val="32"/>
        </w:rPr>
        <w:t>项目过程情况</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该指标下设3个二级指标，分别为“预算执行”、“预算管理”、“资产管理”。</w:t>
      </w:r>
    </w:p>
    <w:p w:rsidR="00A41C90" w:rsidRDefault="00A41C90" w:rsidP="00A41C90">
      <w:pPr>
        <w:snapToGrid w:val="0"/>
        <w:jc w:val="center"/>
        <w:rPr>
          <w:rFonts w:ascii="Times New Roman" w:eastAsia="黑体" w:hAnsi="Times New Roman" w:cs="Times New Roman"/>
          <w:sz w:val="22"/>
          <w:szCs w:val="22"/>
        </w:rPr>
      </w:pPr>
      <w:r>
        <w:rPr>
          <w:rFonts w:ascii="Times New Roman" w:eastAsia="黑体" w:hAnsi="Times New Roman" w:cs="Times New Roman"/>
          <w:sz w:val="22"/>
          <w:szCs w:val="22"/>
        </w:rPr>
        <w:t>表</w:t>
      </w:r>
      <w:r>
        <w:rPr>
          <w:rFonts w:ascii="Times New Roman" w:eastAsia="黑体" w:hAnsi="Times New Roman" w:cs="Times New Roman"/>
          <w:sz w:val="22"/>
          <w:szCs w:val="22"/>
        </w:rPr>
        <w:t xml:space="preserve">3.3  </w:t>
      </w:r>
      <w:r>
        <w:rPr>
          <w:rFonts w:ascii="Times New Roman" w:eastAsia="黑体" w:hAnsi="Times New Roman" w:cs="Times New Roman"/>
          <w:sz w:val="22"/>
          <w:szCs w:val="22"/>
        </w:rPr>
        <w:t>项目过程二级、三级指标得分情况表</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263"/>
        <w:gridCol w:w="901"/>
        <w:gridCol w:w="974"/>
        <w:gridCol w:w="3234"/>
        <w:gridCol w:w="975"/>
        <w:gridCol w:w="975"/>
      </w:tblGrid>
      <w:tr w:rsidR="00A41C90" w:rsidTr="00A41C90">
        <w:trPr>
          <w:trHeight w:val="312"/>
          <w:tblHeader/>
        </w:trPr>
        <w:tc>
          <w:tcPr>
            <w:tcW w:w="758"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sz w:val="22"/>
                <w:szCs w:val="22"/>
              </w:rPr>
            </w:pPr>
            <w:r>
              <w:rPr>
                <w:rFonts w:ascii="Times New Roman" w:eastAsia="黑体" w:hAnsi="Times New Roman" w:cs="Times New Roman"/>
                <w:bCs/>
                <w:kern w:val="0"/>
                <w:sz w:val="22"/>
                <w:szCs w:val="22"/>
              </w:rPr>
              <w:t>二级指标</w:t>
            </w:r>
          </w:p>
        </w:tc>
        <w:tc>
          <w:tcPr>
            <w:tcW w:w="541"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585"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c>
          <w:tcPr>
            <w:tcW w:w="1942"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三级指标</w:t>
            </w:r>
          </w:p>
        </w:tc>
        <w:tc>
          <w:tcPr>
            <w:tcW w:w="586"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586"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r>
      <w:tr w:rsidR="00A41C90" w:rsidTr="00A41C90">
        <w:trPr>
          <w:trHeight w:val="312"/>
        </w:trPr>
        <w:tc>
          <w:tcPr>
            <w:tcW w:w="758" w:type="pct"/>
            <w:vMerge w:val="restart"/>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预算执行</w:t>
            </w:r>
          </w:p>
          <w:p w:rsidR="00A41C90" w:rsidRDefault="00A41C90"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kern w:val="0"/>
                <w:sz w:val="22"/>
                <w:szCs w:val="22"/>
              </w:rPr>
              <w:t>（</w:t>
            </w:r>
            <w:r>
              <w:rPr>
                <w:rStyle w:val="font21"/>
                <w:rFonts w:eastAsia="宋体"/>
                <w:sz w:val="22"/>
                <w:szCs w:val="22"/>
              </w:rPr>
              <w:t>15</w:t>
            </w:r>
            <w:r>
              <w:rPr>
                <w:rFonts w:ascii="Times New Roman" w:eastAsia="仿宋_GB2312" w:hAnsi="Times New Roman" w:cs="Times New Roman"/>
                <w:kern w:val="0"/>
                <w:sz w:val="22"/>
                <w:szCs w:val="22"/>
              </w:rPr>
              <w:t>分）</w:t>
            </w:r>
          </w:p>
        </w:tc>
        <w:tc>
          <w:tcPr>
            <w:tcW w:w="541" w:type="pct"/>
            <w:vMerge w:val="restar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12</w:t>
            </w:r>
          </w:p>
        </w:tc>
        <w:tc>
          <w:tcPr>
            <w:tcW w:w="585" w:type="pct"/>
            <w:vMerge w:val="restar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80</w:t>
            </w:r>
            <w:r>
              <w:rPr>
                <w:rFonts w:ascii="Times New Roman" w:eastAsia="仿宋_GB2312" w:hAnsi="Times New Roman" w:cs="Times New Roman"/>
                <w:kern w:val="0"/>
                <w:sz w:val="22"/>
                <w:szCs w:val="22"/>
              </w:rPr>
              <w:t>%</w:t>
            </w: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预算执行率（</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1A2F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2.4</w:t>
            </w:r>
          </w:p>
        </w:tc>
        <w:tc>
          <w:tcPr>
            <w:tcW w:w="586" w:type="pct"/>
            <w:noWrap/>
            <w:tcMar>
              <w:top w:w="12" w:type="dxa"/>
              <w:left w:w="12" w:type="dxa"/>
              <w:right w:w="12" w:type="dxa"/>
            </w:tcMar>
            <w:vAlign w:val="center"/>
          </w:tcPr>
          <w:p w:rsidR="00A41C90" w:rsidRDefault="001A2F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80</w:t>
            </w:r>
            <w:r w:rsidR="00A41C90">
              <w:rPr>
                <w:rFonts w:ascii="Times New Roman" w:eastAsia="仿宋_GB2312" w:hAnsi="Times New Roman" w:cs="Times New Roman"/>
                <w:kern w:val="0"/>
                <w:sz w:val="22"/>
                <w:szCs w:val="22"/>
              </w:rPr>
              <w:t>%</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预算调整情况（</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2</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支付进度率（</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1A2F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2.4</w:t>
            </w:r>
          </w:p>
        </w:tc>
        <w:tc>
          <w:tcPr>
            <w:tcW w:w="586" w:type="pct"/>
            <w:noWrap/>
            <w:tcMar>
              <w:top w:w="12" w:type="dxa"/>
              <w:left w:w="12" w:type="dxa"/>
              <w:right w:w="12" w:type="dxa"/>
            </w:tcMar>
            <w:vAlign w:val="center"/>
          </w:tcPr>
          <w:p w:rsidR="00A41C90" w:rsidRDefault="001A2F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80</w:t>
            </w:r>
            <w:r w:rsidR="00A41C90">
              <w:rPr>
                <w:rFonts w:ascii="Times New Roman" w:eastAsia="仿宋_GB2312" w:hAnsi="Times New Roman" w:cs="Times New Roman"/>
                <w:kern w:val="0"/>
                <w:sz w:val="22"/>
                <w:szCs w:val="22"/>
              </w:rPr>
              <w:t>%</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上年结转资金执行率（</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2</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w:t>
            </w:r>
            <w:r>
              <w:rPr>
                <w:rFonts w:ascii="Times New Roman" w:eastAsia="仿宋_GB2312" w:hAnsi="Times New Roman" w:cs="Times New Roman"/>
                <w:kern w:val="0"/>
                <w:sz w:val="22"/>
                <w:szCs w:val="22"/>
              </w:rPr>
              <w:t>三公经费</w:t>
            </w:r>
            <w:r>
              <w:rPr>
                <w:rFonts w:ascii="Times New Roman" w:eastAsia="仿宋_GB2312" w:hAnsi="Times New Roman" w:cs="Times New Roman"/>
                <w:kern w:val="0"/>
                <w:sz w:val="22"/>
                <w:szCs w:val="22"/>
              </w:rPr>
              <w:t>”</w:t>
            </w:r>
            <w:r>
              <w:rPr>
                <w:rFonts w:ascii="Times New Roman" w:eastAsia="仿宋_GB2312" w:hAnsi="Times New Roman" w:cs="Times New Roman"/>
                <w:kern w:val="0"/>
                <w:sz w:val="22"/>
                <w:szCs w:val="22"/>
              </w:rPr>
              <w:t>变动情况（</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2</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rPr>
                <w:rFonts w:ascii="Times New Roman" w:eastAsia="仿宋_GB2312" w:hAnsi="Times New Roman" w:cs="Times New Roman"/>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政府采购执行率（</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3</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Pr>
                <w:rFonts w:ascii="Times New Roman" w:eastAsia="仿宋_GB2312" w:hAnsi="Times New Roman" w:cs="Times New Roman"/>
                <w:kern w:val="0"/>
                <w:sz w:val="22"/>
                <w:szCs w:val="22"/>
              </w:rPr>
              <w:t>%</w:t>
            </w:r>
          </w:p>
        </w:tc>
      </w:tr>
      <w:tr w:rsidR="00A41C90" w:rsidTr="00A41C90">
        <w:trPr>
          <w:trHeight w:val="312"/>
        </w:trPr>
        <w:tc>
          <w:tcPr>
            <w:tcW w:w="758" w:type="pct"/>
            <w:vMerge w:val="restart"/>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sz w:val="22"/>
                <w:szCs w:val="22"/>
              </w:rPr>
              <w:t>预算管理</w:t>
            </w:r>
          </w:p>
          <w:p w:rsidR="00A41C90" w:rsidRDefault="00A41C90" w:rsidP="00A41C90">
            <w:pPr>
              <w:widowControl/>
              <w:spacing w:line="360" w:lineRule="auto"/>
              <w:jc w:val="center"/>
              <w:textAlignment w:val="center"/>
              <w:rPr>
                <w:rFonts w:ascii="Times New Roman" w:eastAsia="仿宋_GB2312" w:hAnsi="Times New Roman" w:cs="Times New Roman"/>
                <w:sz w:val="22"/>
                <w:szCs w:val="22"/>
              </w:rPr>
            </w:pPr>
            <w:r>
              <w:rPr>
                <w:rFonts w:ascii="Times New Roman" w:eastAsia="仿宋_GB2312" w:hAnsi="Times New Roman" w:cs="Times New Roman"/>
                <w:sz w:val="22"/>
                <w:szCs w:val="22"/>
              </w:rPr>
              <w:t>（</w:t>
            </w:r>
            <w:r>
              <w:rPr>
                <w:rFonts w:ascii="Times New Roman" w:eastAsia="仿宋_GB2312" w:hAnsi="Times New Roman" w:cs="Times New Roman"/>
                <w:sz w:val="22"/>
                <w:szCs w:val="22"/>
              </w:rPr>
              <w:t>9</w:t>
            </w:r>
            <w:r>
              <w:rPr>
                <w:rFonts w:ascii="Times New Roman" w:eastAsia="仿宋_GB2312" w:hAnsi="Times New Roman" w:cs="Times New Roman"/>
                <w:sz w:val="22"/>
                <w:szCs w:val="22"/>
              </w:rPr>
              <w:t>分）</w:t>
            </w:r>
          </w:p>
        </w:tc>
        <w:tc>
          <w:tcPr>
            <w:tcW w:w="541" w:type="pct"/>
            <w:vMerge w:val="restar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9</w:t>
            </w:r>
          </w:p>
        </w:tc>
        <w:tc>
          <w:tcPr>
            <w:tcW w:w="585" w:type="pct"/>
            <w:vMerge w:val="restar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Pr>
                <w:rFonts w:ascii="Times New Roman" w:eastAsia="仿宋_GB2312" w:hAnsi="Times New Roman" w:cs="Times New Roman"/>
                <w:kern w:val="0"/>
                <w:sz w:val="22"/>
                <w:szCs w:val="22"/>
              </w:rPr>
              <w:t>%</w:t>
            </w: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管理制度健全性（</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2</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资金使用合规性（</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2</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Pr>
                <w:rFonts w:ascii="Times New Roman" w:eastAsia="仿宋_GB2312" w:hAnsi="Times New Roman" w:cs="Times New Roman"/>
                <w:kern w:val="0"/>
                <w:sz w:val="22"/>
                <w:szCs w:val="22"/>
              </w:rPr>
              <w:t>%</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预决算信息公开性（</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2</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rPr>
                <w:rFonts w:ascii="Times New Roman" w:eastAsia="仿宋_GB2312" w:hAnsi="Times New Roman" w:cs="Times New Roman"/>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基础信息完善性（</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3</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758" w:type="pct"/>
            <w:vMerge w:val="restart"/>
            <w:tcMar>
              <w:top w:w="12" w:type="dxa"/>
              <w:left w:w="12" w:type="dxa"/>
              <w:right w:w="12" w:type="dxa"/>
            </w:tcMar>
            <w:vAlign w:val="center"/>
          </w:tcPr>
          <w:p w:rsidR="00A41C90" w:rsidRDefault="00A41C90" w:rsidP="00A41C90">
            <w:pPr>
              <w:widowControl/>
              <w:spacing w:line="360" w:lineRule="auto"/>
              <w:jc w:val="center"/>
              <w:rPr>
                <w:rFonts w:ascii="Times New Roman" w:eastAsia="仿宋_GB2312" w:hAnsi="Times New Roman" w:cs="Times New Roman"/>
                <w:sz w:val="22"/>
                <w:szCs w:val="22"/>
              </w:rPr>
            </w:pPr>
            <w:r>
              <w:rPr>
                <w:rFonts w:ascii="Times New Roman" w:eastAsia="仿宋_GB2312" w:hAnsi="Times New Roman" w:cs="Times New Roman"/>
                <w:sz w:val="22"/>
                <w:szCs w:val="22"/>
              </w:rPr>
              <w:t>资产管理</w:t>
            </w:r>
          </w:p>
          <w:p w:rsidR="00A41C90" w:rsidRDefault="00A41C90" w:rsidP="00A41C90">
            <w:pPr>
              <w:widowControl/>
              <w:spacing w:line="360" w:lineRule="auto"/>
              <w:jc w:val="center"/>
              <w:rPr>
                <w:rFonts w:ascii="Times New Roman" w:eastAsia="仿宋_GB2312" w:hAnsi="Times New Roman" w:cs="Times New Roman"/>
                <w:sz w:val="22"/>
                <w:szCs w:val="22"/>
              </w:rPr>
            </w:pPr>
            <w:r>
              <w:rPr>
                <w:rFonts w:ascii="Times New Roman" w:eastAsia="仿宋_GB2312" w:hAnsi="Times New Roman" w:cs="Times New Roman"/>
                <w:sz w:val="22"/>
                <w:szCs w:val="22"/>
              </w:rPr>
              <w:t>（</w:t>
            </w:r>
            <w:r>
              <w:rPr>
                <w:rFonts w:ascii="Times New Roman" w:eastAsia="仿宋_GB2312" w:hAnsi="Times New Roman" w:cs="Times New Roman"/>
                <w:sz w:val="22"/>
                <w:szCs w:val="22"/>
              </w:rPr>
              <w:t>6</w:t>
            </w:r>
            <w:r>
              <w:rPr>
                <w:rFonts w:ascii="Times New Roman" w:eastAsia="仿宋_GB2312" w:hAnsi="Times New Roman" w:cs="Times New Roman"/>
                <w:sz w:val="22"/>
                <w:szCs w:val="22"/>
              </w:rPr>
              <w:t>分）</w:t>
            </w:r>
          </w:p>
        </w:tc>
        <w:tc>
          <w:tcPr>
            <w:tcW w:w="541" w:type="pct"/>
            <w:vMerge w:val="restar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6</w:t>
            </w:r>
          </w:p>
        </w:tc>
        <w:tc>
          <w:tcPr>
            <w:tcW w:w="585" w:type="pct"/>
            <w:vMerge w:val="restar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固定资产利用率（</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3</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758" w:type="pct"/>
            <w:vMerge/>
            <w:tcMar>
              <w:top w:w="12" w:type="dxa"/>
              <w:left w:w="12" w:type="dxa"/>
              <w:right w:w="12" w:type="dxa"/>
            </w:tcMar>
            <w:vAlign w:val="center"/>
          </w:tcPr>
          <w:p w:rsidR="00A41C90" w:rsidRDefault="00A41C90" w:rsidP="00A41C90">
            <w:pPr>
              <w:widowControl/>
              <w:spacing w:line="360" w:lineRule="auto"/>
              <w:jc w:val="center"/>
              <w:rPr>
                <w:rFonts w:ascii="Times New Roman" w:eastAsia="仿宋_GB2312" w:hAnsi="Times New Roman" w:cs="Times New Roman"/>
                <w:sz w:val="22"/>
                <w:szCs w:val="22"/>
              </w:rPr>
            </w:pPr>
          </w:p>
        </w:tc>
        <w:tc>
          <w:tcPr>
            <w:tcW w:w="541"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85"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942"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资产管理规范性（</w:t>
            </w: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分）</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3</w:t>
            </w:r>
          </w:p>
        </w:tc>
        <w:tc>
          <w:tcPr>
            <w:tcW w:w="58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bl>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（1）预算执行。主要对部门整体预算执行率、预算调整情况、支付进度率、上年结转资金执行率、“三公经费”</w:t>
      </w:r>
      <w:r w:rsidRPr="00AE0794">
        <w:rPr>
          <w:rFonts w:ascii="仿宋_GB2312" w:eastAsia="仿宋_GB2312" w:hAnsi="Times New Roman" w:cs="Times New Roman" w:hint="eastAsia"/>
          <w:sz w:val="32"/>
          <w:szCs w:val="32"/>
        </w:rPr>
        <w:lastRenderedPageBreak/>
        <w:t>变动情况和政府采购执行率进行评价。</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①预算执行率：指标满分3分，评价得分</w:t>
      </w:r>
      <w:r w:rsidR="001A2F90" w:rsidRPr="00AE0794">
        <w:rPr>
          <w:rFonts w:ascii="仿宋_GB2312" w:eastAsia="仿宋_GB2312" w:hAnsi="Times New Roman" w:cs="Times New Roman" w:hint="eastAsia"/>
          <w:sz w:val="32"/>
          <w:szCs w:val="32"/>
        </w:rPr>
        <w:t>2.4</w:t>
      </w:r>
      <w:r w:rsidRPr="00AE0794">
        <w:rPr>
          <w:rFonts w:ascii="仿宋_GB2312" w:eastAsia="仿宋_GB2312" w:hAnsi="Times New Roman" w:cs="Times New Roman" w:hint="eastAsia"/>
          <w:sz w:val="32"/>
          <w:szCs w:val="32"/>
        </w:rPr>
        <w:t>分，得分率为</w:t>
      </w:r>
      <w:r w:rsidR="001A2F90" w:rsidRPr="00AE0794">
        <w:rPr>
          <w:rFonts w:ascii="仿宋_GB2312" w:eastAsia="仿宋_GB2312" w:hAnsi="Times New Roman" w:cs="Times New Roman" w:hint="eastAsia"/>
          <w:sz w:val="32"/>
          <w:szCs w:val="32"/>
        </w:rPr>
        <w:t>80</w:t>
      </w:r>
      <w:r w:rsidRPr="00AE0794">
        <w:rPr>
          <w:rFonts w:ascii="仿宋_GB2312" w:eastAsia="仿宋_GB2312" w:hAnsi="Times New Roman" w:cs="Times New Roman" w:hint="eastAsia"/>
          <w:sz w:val="32"/>
          <w:szCs w:val="32"/>
        </w:rPr>
        <w:t>%。2020年市文旅局调整后预算数为</w:t>
      </w:r>
      <w:r w:rsidR="001A2F90" w:rsidRPr="00AE0794">
        <w:rPr>
          <w:rFonts w:ascii="仿宋_GB2312" w:eastAsia="仿宋_GB2312" w:hAnsi="Times New Roman" w:cs="Times New Roman" w:hint="eastAsia"/>
          <w:sz w:val="32"/>
          <w:szCs w:val="32"/>
        </w:rPr>
        <w:t>41437.35</w:t>
      </w:r>
      <w:r w:rsidRPr="00AE0794">
        <w:rPr>
          <w:rFonts w:ascii="仿宋_GB2312" w:eastAsia="仿宋_GB2312" w:hAnsi="Times New Roman" w:cs="Times New Roman" w:hint="eastAsia"/>
          <w:sz w:val="32"/>
          <w:szCs w:val="32"/>
        </w:rPr>
        <w:t>万元，其中，年初预算批复数</w:t>
      </w:r>
      <w:r w:rsidR="001A2F90" w:rsidRPr="00AE0794">
        <w:rPr>
          <w:rFonts w:ascii="仿宋_GB2312" w:eastAsia="仿宋_GB2312" w:hAnsi="Times New Roman" w:cs="Times New Roman" w:hint="eastAsia"/>
          <w:sz w:val="32"/>
          <w:szCs w:val="32"/>
        </w:rPr>
        <w:t>31138.51</w:t>
      </w:r>
      <w:r w:rsidRPr="00AE0794">
        <w:rPr>
          <w:rFonts w:ascii="仿宋_GB2312" w:eastAsia="仿宋_GB2312" w:hAnsi="Times New Roman" w:cs="Times New Roman" w:hint="eastAsia"/>
          <w:sz w:val="32"/>
          <w:szCs w:val="32"/>
        </w:rPr>
        <w:t>万元，预算调整数</w:t>
      </w:r>
      <w:r w:rsidR="001A2F90" w:rsidRPr="00AE0794">
        <w:rPr>
          <w:rFonts w:ascii="仿宋_GB2312" w:eastAsia="仿宋_GB2312" w:hAnsi="Times New Roman" w:cs="Times New Roman" w:hint="eastAsia"/>
          <w:sz w:val="32"/>
          <w:szCs w:val="32"/>
        </w:rPr>
        <w:t>10298.84</w:t>
      </w:r>
      <w:r w:rsidRPr="00AE0794">
        <w:rPr>
          <w:rFonts w:ascii="仿宋_GB2312" w:eastAsia="仿宋_GB2312" w:hAnsi="Times New Roman" w:cs="Times New Roman" w:hint="eastAsia"/>
          <w:sz w:val="32"/>
          <w:szCs w:val="32"/>
        </w:rPr>
        <w:t>万元，预算执行数为</w:t>
      </w:r>
      <w:r w:rsidR="001A2F90" w:rsidRPr="00AE0794">
        <w:rPr>
          <w:rFonts w:ascii="仿宋_GB2312" w:eastAsia="仿宋_GB2312" w:hAnsi="Times New Roman" w:cs="Times New Roman" w:hint="eastAsia"/>
          <w:sz w:val="32"/>
          <w:szCs w:val="32"/>
        </w:rPr>
        <w:t>39977.81</w:t>
      </w:r>
      <w:r w:rsidRPr="00AE0794">
        <w:rPr>
          <w:rFonts w:ascii="仿宋_GB2312" w:eastAsia="仿宋_GB2312" w:hAnsi="Times New Roman" w:cs="Times New Roman" w:hint="eastAsia"/>
          <w:sz w:val="32"/>
          <w:szCs w:val="32"/>
        </w:rPr>
        <w:t>万元，预算执行率为</w:t>
      </w:r>
      <w:r w:rsidR="001A2F90" w:rsidRPr="00AE0794">
        <w:rPr>
          <w:rFonts w:ascii="仿宋_GB2312" w:eastAsia="仿宋_GB2312" w:hAnsi="Times New Roman" w:cs="Times New Roman" w:hint="eastAsia"/>
          <w:sz w:val="32"/>
          <w:szCs w:val="32"/>
        </w:rPr>
        <w:t>96</w:t>
      </w:r>
      <w:r w:rsidRPr="00AE0794">
        <w:rPr>
          <w:rFonts w:ascii="仿宋_GB2312" w:eastAsia="仿宋_GB2312" w:hAnsi="Times New Roman" w:cs="Times New Roman" w:hint="eastAsia"/>
          <w:sz w:val="32"/>
          <w:szCs w:val="32"/>
        </w:rPr>
        <w:t>%，扣减0.</w:t>
      </w:r>
      <w:r w:rsidR="001A2F90" w:rsidRPr="00AE0794">
        <w:rPr>
          <w:rFonts w:ascii="仿宋_GB2312" w:eastAsia="仿宋_GB2312" w:hAnsi="Times New Roman" w:cs="Times New Roman" w:hint="eastAsia"/>
          <w:sz w:val="32"/>
          <w:szCs w:val="32"/>
        </w:rPr>
        <w:t>6</w:t>
      </w:r>
      <w:r w:rsidRPr="00AE0794">
        <w:rPr>
          <w:rFonts w:ascii="仿宋_GB2312" w:eastAsia="仿宋_GB2312" w:hAnsi="Times New Roman" w:cs="Times New Roman" w:hint="eastAsia"/>
          <w:sz w:val="32"/>
          <w:szCs w:val="32"/>
        </w:rPr>
        <w:t>分。</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②预算调整情况：指标满分2分，评价得分2分，得分率为100%。2019年根据政府相关工作安排，财政追加预算资金</w:t>
      </w:r>
      <w:r w:rsidR="001A2F90" w:rsidRPr="00AE0794">
        <w:rPr>
          <w:rFonts w:ascii="仿宋_GB2312" w:eastAsia="仿宋_GB2312" w:hAnsi="Times New Roman" w:cs="Times New Roman" w:hint="eastAsia"/>
          <w:sz w:val="32"/>
          <w:szCs w:val="32"/>
        </w:rPr>
        <w:t>10298.84</w:t>
      </w:r>
      <w:r w:rsidRPr="00AE0794">
        <w:rPr>
          <w:rFonts w:ascii="仿宋_GB2312" w:eastAsia="仿宋_GB2312" w:hAnsi="Times New Roman" w:cs="Times New Roman" w:hint="eastAsia"/>
          <w:sz w:val="32"/>
          <w:szCs w:val="32"/>
        </w:rPr>
        <w:t>万元。</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③支付进度率：指标满分3分，评价得分</w:t>
      </w:r>
      <w:r w:rsidR="001A2F90" w:rsidRPr="00AE0794">
        <w:rPr>
          <w:rFonts w:ascii="仿宋_GB2312" w:eastAsia="仿宋_GB2312" w:hAnsi="Times New Roman" w:cs="Times New Roman" w:hint="eastAsia"/>
          <w:sz w:val="32"/>
          <w:szCs w:val="32"/>
        </w:rPr>
        <w:t>2.4</w:t>
      </w:r>
      <w:r w:rsidRPr="00AE0794">
        <w:rPr>
          <w:rFonts w:ascii="仿宋_GB2312" w:eastAsia="仿宋_GB2312" w:hAnsi="Times New Roman" w:cs="Times New Roman" w:hint="eastAsia"/>
          <w:sz w:val="32"/>
          <w:szCs w:val="32"/>
        </w:rPr>
        <w:t>分，</w:t>
      </w:r>
      <w:r w:rsidR="00517FC2" w:rsidRPr="00AE0794">
        <w:rPr>
          <w:rFonts w:ascii="仿宋_GB2312" w:eastAsia="仿宋_GB2312" w:hAnsi="Times New Roman" w:cs="Times New Roman" w:hint="eastAsia"/>
          <w:sz w:val="32"/>
          <w:szCs w:val="32"/>
        </w:rPr>
        <w:t>全年资金执行率为96%，</w:t>
      </w:r>
      <w:r w:rsidRPr="00AE0794">
        <w:rPr>
          <w:rFonts w:ascii="仿宋_GB2312" w:eastAsia="仿宋_GB2312" w:hAnsi="Times New Roman" w:cs="Times New Roman" w:hint="eastAsia"/>
          <w:sz w:val="32"/>
          <w:szCs w:val="32"/>
        </w:rPr>
        <w:t>扣减</w:t>
      </w:r>
      <w:r w:rsidR="00517FC2" w:rsidRPr="00AE0794">
        <w:rPr>
          <w:rFonts w:ascii="仿宋_GB2312" w:eastAsia="仿宋_GB2312" w:hAnsi="Times New Roman" w:cs="Times New Roman" w:hint="eastAsia"/>
          <w:sz w:val="32"/>
          <w:szCs w:val="32"/>
        </w:rPr>
        <w:t>0.6</w:t>
      </w:r>
      <w:r w:rsidRPr="00AE0794">
        <w:rPr>
          <w:rFonts w:ascii="仿宋_GB2312" w:eastAsia="仿宋_GB2312" w:hAnsi="Times New Roman" w:cs="Times New Roman" w:hint="eastAsia"/>
          <w:sz w:val="32"/>
          <w:szCs w:val="32"/>
        </w:rPr>
        <w:t>分。</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④上年结转资金执行率：指标满分2分，评价得分2分，得分率为100%。</w:t>
      </w:r>
      <w:r w:rsidR="007A1413" w:rsidRPr="00AE0794">
        <w:rPr>
          <w:rFonts w:ascii="仿宋_GB2312" w:eastAsia="仿宋_GB2312" w:hAnsi="Times New Roman" w:cs="Times New Roman" w:hint="eastAsia"/>
          <w:sz w:val="32"/>
          <w:szCs w:val="32"/>
        </w:rPr>
        <w:t>2020</w:t>
      </w:r>
      <w:r w:rsidRPr="00AE0794">
        <w:rPr>
          <w:rFonts w:ascii="仿宋_GB2312" w:eastAsia="仿宋_GB2312" w:hAnsi="Times New Roman" w:cs="Times New Roman" w:hint="eastAsia"/>
          <w:sz w:val="32"/>
          <w:szCs w:val="32"/>
        </w:rPr>
        <w:t>年青岛市文化和旅游局上年结转资金</w:t>
      </w:r>
      <w:r w:rsidR="007A1413" w:rsidRPr="00AE0794">
        <w:rPr>
          <w:rFonts w:ascii="仿宋_GB2312" w:eastAsia="仿宋_GB2312" w:hAnsi="Times New Roman" w:cs="Times New Roman" w:hint="eastAsia"/>
          <w:sz w:val="32"/>
          <w:szCs w:val="32"/>
        </w:rPr>
        <w:t>1307.79</w:t>
      </w:r>
      <w:r w:rsidRPr="00AE0794">
        <w:rPr>
          <w:rFonts w:ascii="仿宋_GB2312" w:eastAsia="仿宋_GB2312" w:hAnsi="Times New Roman" w:cs="Times New Roman" w:hint="eastAsia"/>
          <w:sz w:val="32"/>
          <w:szCs w:val="32"/>
        </w:rPr>
        <w:t>万元，为局属单位往年结转，不做扣分处理。</w:t>
      </w:r>
    </w:p>
    <w:p w:rsidR="00A41C90" w:rsidRPr="00AE0794" w:rsidRDefault="00A41C90" w:rsidP="00A41C90">
      <w:pPr>
        <w:widowControl/>
        <w:overflowPunct w:val="0"/>
        <w:autoSpaceDE w:val="0"/>
        <w:autoSpaceDN w:val="0"/>
        <w:spacing w:line="580" w:lineRule="exact"/>
        <w:ind w:firstLineChars="200" w:firstLine="640"/>
        <w:textAlignment w:val="baseline"/>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⑤“三公经费”变动情况：指标满分2分，评价得分2分，得分率为100%。2</w:t>
      </w:r>
      <w:r w:rsidR="007A1413" w:rsidRPr="00AE0794">
        <w:rPr>
          <w:rFonts w:ascii="仿宋_GB2312" w:eastAsia="仿宋_GB2312" w:hAnsi="Times New Roman" w:cs="Times New Roman" w:hint="eastAsia"/>
          <w:sz w:val="32"/>
          <w:szCs w:val="32"/>
        </w:rPr>
        <w:t>019</w:t>
      </w:r>
      <w:r w:rsidRPr="00AE0794">
        <w:rPr>
          <w:rFonts w:ascii="仿宋_GB2312" w:eastAsia="仿宋_GB2312" w:hAnsi="Times New Roman" w:cs="Times New Roman" w:hint="eastAsia"/>
          <w:sz w:val="32"/>
          <w:szCs w:val="32"/>
        </w:rPr>
        <w:t>年度“三公经费”决算数为</w:t>
      </w:r>
      <w:r w:rsidR="007A1413" w:rsidRPr="00AE0794">
        <w:rPr>
          <w:rFonts w:ascii="仿宋_GB2312" w:eastAsia="仿宋_GB2312" w:hAnsi="Times New Roman" w:cs="Times New Roman" w:hint="eastAsia"/>
          <w:sz w:val="32"/>
          <w:szCs w:val="32"/>
        </w:rPr>
        <w:t>193.59万元</w:t>
      </w:r>
      <w:r w:rsidRPr="00AE0794">
        <w:rPr>
          <w:rFonts w:ascii="仿宋_GB2312" w:eastAsia="仿宋_GB2312" w:hAnsi="Times New Roman" w:cs="Times New Roman" w:hint="eastAsia"/>
          <w:sz w:val="32"/>
          <w:szCs w:val="32"/>
        </w:rPr>
        <w:t>。20</w:t>
      </w:r>
      <w:r w:rsidR="007A1413"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年度市文化和旅游局“三公经费”决算数为</w:t>
      </w:r>
      <w:r w:rsidR="007A1413" w:rsidRPr="00AE0794">
        <w:rPr>
          <w:rFonts w:ascii="仿宋_GB2312" w:eastAsia="仿宋_GB2312" w:hAnsi="Times New Roman" w:cs="Times New Roman" w:hint="eastAsia"/>
          <w:sz w:val="32"/>
          <w:szCs w:val="32"/>
        </w:rPr>
        <w:t>63.34</w:t>
      </w:r>
      <w:r w:rsidRPr="00AE0794">
        <w:rPr>
          <w:rFonts w:ascii="仿宋_GB2312" w:eastAsia="仿宋_GB2312" w:hAnsi="Times New Roman" w:cs="Times New Roman" w:hint="eastAsia"/>
          <w:sz w:val="32"/>
          <w:szCs w:val="32"/>
        </w:rPr>
        <w:t>万元</w:t>
      </w:r>
      <w:r w:rsidR="007A1413" w:rsidRPr="00AE0794">
        <w:rPr>
          <w:rFonts w:ascii="仿宋_GB2312" w:eastAsia="仿宋_GB2312" w:hAnsi="Times New Roman" w:cs="Times New Roman" w:hint="eastAsia"/>
          <w:sz w:val="32"/>
          <w:szCs w:val="32"/>
        </w:rPr>
        <w:t xml:space="preserve"> </w:t>
      </w:r>
      <w:r w:rsidRPr="00AE0794">
        <w:rPr>
          <w:rFonts w:ascii="仿宋_GB2312" w:eastAsia="仿宋_GB2312" w:hAnsi="Times New Roman" w:cs="Times New Roman" w:hint="eastAsia"/>
          <w:sz w:val="32"/>
          <w:szCs w:val="32"/>
        </w:rPr>
        <w:t>“三公经费”总额较上年度有所减少。</w:t>
      </w:r>
    </w:p>
    <w:p w:rsidR="00A41C90" w:rsidRPr="00AE0794" w:rsidRDefault="00A41C90" w:rsidP="00A41C90">
      <w:pPr>
        <w:widowControl/>
        <w:overflowPunct w:val="0"/>
        <w:autoSpaceDE w:val="0"/>
        <w:autoSpaceDN w:val="0"/>
        <w:spacing w:line="580" w:lineRule="exact"/>
        <w:ind w:firstLineChars="200" w:firstLine="640"/>
        <w:textAlignment w:val="baseline"/>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其中：因公出国（境）费用比20</w:t>
      </w:r>
      <w:r w:rsidR="007A1413" w:rsidRPr="00AE0794">
        <w:rPr>
          <w:rFonts w:ascii="仿宋_GB2312" w:eastAsia="仿宋_GB2312" w:hAnsi="Times New Roman" w:cs="Times New Roman" w:hint="eastAsia"/>
          <w:sz w:val="32"/>
          <w:szCs w:val="32"/>
        </w:rPr>
        <w:t>19</w:t>
      </w:r>
      <w:r w:rsidRPr="00AE0794">
        <w:rPr>
          <w:rFonts w:ascii="仿宋_GB2312" w:eastAsia="仿宋_GB2312" w:hAnsi="Times New Roman" w:cs="Times New Roman" w:hint="eastAsia"/>
          <w:sz w:val="32"/>
          <w:szCs w:val="32"/>
        </w:rPr>
        <w:t>年度</w:t>
      </w:r>
      <w:r w:rsidR="007A1413" w:rsidRPr="00AE0794">
        <w:rPr>
          <w:rFonts w:ascii="仿宋_GB2312" w:eastAsia="仿宋_GB2312" w:hAnsi="Times New Roman" w:cs="Times New Roman" w:hint="eastAsia"/>
          <w:sz w:val="32"/>
          <w:szCs w:val="32"/>
        </w:rPr>
        <w:t>减少119.67</w:t>
      </w:r>
      <w:r w:rsidRPr="00AE0794">
        <w:rPr>
          <w:rFonts w:ascii="仿宋_GB2312" w:eastAsia="仿宋_GB2312" w:hAnsi="Times New Roman" w:cs="Times New Roman" w:hint="eastAsia"/>
          <w:sz w:val="32"/>
          <w:szCs w:val="32"/>
        </w:rPr>
        <w:t>万元，主要原因是20</w:t>
      </w:r>
      <w:r w:rsidR="007A1413"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w:t>
      </w:r>
      <w:r w:rsidR="007A1413" w:rsidRPr="00AE0794">
        <w:rPr>
          <w:rFonts w:ascii="仿宋_GB2312" w:eastAsia="仿宋_GB2312" w:hAnsi="Times New Roman" w:cs="Times New Roman" w:hint="eastAsia"/>
          <w:sz w:val="32"/>
          <w:szCs w:val="32"/>
        </w:rPr>
        <w:t>受疫情影响对外文化交流活动基本停止</w:t>
      </w:r>
      <w:r w:rsidRPr="00AE0794">
        <w:rPr>
          <w:rFonts w:ascii="仿宋_GB2312" w:eastAsia="仿宋_GB2312" w:hAnsi="Times New Roman" w:cs="Times New Roman" w:hint="eastAsia"/>
          <w:sz w:val="32"/>
          <w:szCs w:val="32"/>
        </w:rPr>
        <w:t>。公务用车购置及运行费比20</w:t>
      </w:r>
      <w:r w:rsidR="007A1413" w:rsidRPr="00AE0794">
        <w:rPr>
          <w:rFonts w:ascii="仿宋_GB2312" w:eastAsia="仿宋_GB2312" w:hAnsi="Times New Roman" w:cs="Times New Roman" w:hint="eastAsia"/>
          <w:sz w:val="32"/>
          <w:szCs w:val="32"/>
        </w:rPr>
        <w:t>19</w:t>
      </w:r>
      <w:r w:rsidRPr="00AE0794">
        <w:rPr>
          <w:rFonts w:ascii="仿宋_GB2312" w:eastAsia="仿宋_GB2312" w:hAnsi="Times New Roman" w:cs="Times New Roman" w:hint="eastAsia"/>
          <w:sz w:val="32"/>
          <w:szCs w:val="32"/>
        </w:rPr>
        <w:t>年度减少</w:t>
      </w:r>
      <w:r w:rsidR="007A1413" w:rsidRPr="00AE0794">
        <w:rPr>
          <w:rFonts w:ascii="仿宋_GB2312" w:eastAsia="仿宋_GB2312" w:hAnsi="Times New Roman" w:cs="Times New Roman" w:hint="eastAsia"/>
          <w:sz w:val="32"/>
          <w:szCs w:val="32"/>
        </w:rPr>
        <w:t>2.55</w:t>
      </w:r>
      <w:r w:rsidRPr="00AE0794">
        <w:rPr>
          <w:rFonts w:ascii="仿宋_GB2312" w:eastAsia="仿宋_GB2312" w:hAnsi="Times New Roman" w:cs="Times New Roman" w:hint="eastAsia"/>
          <w:sz w:val="32"/>
          <w:szCs w:val="32"/>
        </w:rPr>
        <w:t>万元，主要原因是机关事业单位实行公务用车改革，严格控制公务用车使用降低支出。公务接待费比201</w:t>
      </w:r>
      <w:r w:rsidR="007A1413" w:rsidRPr="00AE0794">
        <w:rPr>
          <w:rFonts w:ascii="仿宋_GB2312" w:eastAsia="仿宋_GB2312" w:hAnsi="Times New Roman" w:cs="Times New Roman" w:hint="eastAsia"/>
          <w:sz w:val="32"/>
          <w:szCs w:val="32"/>
        </w:rPr>
        <w:t>9</w:t>
      </w:r>
      <w:r w:rsidRPr="00AE0794">
        <w:rPr>
          <w:rFonts w:ascii="仿宋_GB2312" w:eastAsia="仿宋_GB2312" w:hAnsi="Times New Roman" w:cs="Times New Roman" w:hint="eastAsia"/>
          <w:sz w:val="32"/>
          <w:szCs w:val="32"/>
        </w:rPr>
        <w:t>年度减少</w:t>
      </w:r>
      <w:r w:rsidR="007A1413" w:rsidRPr="00AE0794">
        <w:rPr>
          <w:rFonts w:ascii="仿宋_GB2312" w:eastAsia="仿宋_GB2312" w:hAnsi="Times New Roman" w:cs="Times New Roman" w:hint="eastAsia"/>
          <w:sz w:val="32"/>
          <w:szCs w:val="32"/>
        </w:rPr>
        <w:t>8.02</w:t>
      </w:r>
      <w:r w:rsidRPr="00AE0794">
        <w:rPr>
          <w:rFonts w:ascii="仿宋_GB2312" w:eastAsia="仿宋_GB2312" w:hAnsi="Times New Roman" w:cs="Times New Roman" w:hint="eastAsia"/>
          <w:sz w:val="32"/>
          <w:szCs w:val="32"/>
        </w:rPr>
        <w:t>万元，主要原因是严格控制公务接待支出，降低公务接待费用。</w:t>
      </w:r>
    </w:p>
    <w:p w:rsidR="00A41C90" w:rsidRDefault="00A41C90" w:rsidP="00A41C90">
      <w:pPr>
        <w:widowControl/>
        <w:jc w:val="center"/>
        <w:rPr>
          <w:rFonts w:ascii="Times New Roman" w:eastAsia="黑体" w:hAnsi="Times New Roman" w:cs="Times New Roman"/>
          <w:sz w:val="22"/>
          <w:szCs w:val="22"/>
        </w:rPr>
      </w:pPr>
      <w:r>
        <w:rPr>
          <w:rFonts w:ascii="Times New Roman" w:eastAsia="黑体" w:hAnsi="Times New Roman" w:cs="Times New Roman"/>
          <w:sz w:val="22"/>
          <w:szCs w:val="22"/>
        </w:rPr>
        <w:lastRenderedPageBreak/>
        <w:t>表</w:t>
      </w:r>
      <w:r>
        <w:rPr>
          <w:rFonts w:ascii="Times New Roman" w:eastAsia="黑体" w:hAnsi="Times New Roman" w:cs="Times New Roman"/>
          <w:sz w:val="22"/>
          <w:szCs w:val="22"/>
        </w:rPr>
        <w:t>3.4  20</w:t>
      </w:r>
      <w:r w:rsidR="007A1413">
        <w:rPr>
          <w:rFonts w:ascii="Times New Roman" w:eastAsia="黑体" w:hAnsi="Times New Roman" w:cs="Times New Roman" w:hint="eastAsia"/>
          <w:sz w:val="22"/>
          <w:szCs w:val="22"/>
        </w:rPr>
        <w:t>20</w:t>
      </w:r>
      <w:r>
        <w:rPr>
          <w:rFonts w:ascii="Times New Roman" w:eastAsia="黑体" w:hAnsi="Times New Roman" w:cs="Times New Roman"/>
          <w:sz w:val="22"/>
          <w:szCs w:val="22"/>
        </w:rPr>
        <w:t>年度青岛市文化和旅游局</w:t>
      </w:r>
      <w:r>
        <w:rPr>
          <w:rFonts w:ascii="Times New Roman" w:eastAsia="黑体" w:hAnsi="Times New Roman" w:cs="Times New Roman"/>
          <w:sz w:val="22"/>
          <w:szCs w:val="22"/>
        </w:rPr>
        <w:t>“</w:t>
      </w:r>
      <w:r>
        <w:rPr>
          <w:rFonts w:ascii="Times New Roman" w:eastAsia="黑体" w:hAnsi="Times New Roman" w:cs="Times New Roman"/>
          <w:sz w:val="22"/>
          <w:szCs w:val="22"/>
        </w:rPr>
        <w:t>三公经费</w:t>
      </w:r>
      <w:r>
        <w:rPr>
          <w:rFonts w:ascii="Times New Roman" w:eastAsia="黑体" w:hAnsi="Times New Roman" w:cs="Times New Roman"/>
          <w:sz w:val="22"/>
          <w:szCs w:val="22"/>
        </w:rPr>
        <w:t>”</w:t>
      </w:r>
      <w:r>
        <w:rPr>
          <w:rFonts w:ascii="Times New Roman" w:eastAsia="黑体" w:hAnsi="Times New Roman" w:cs="Times New Roman"/>
          <w:sz w:val="22"/>
          <w:szCs w:val="22"/>
        </w:rPr>
        <w:t>支出情况变动表（单位：万元）</w:t>
      </w:r>
    </w:p>
    <w:tbl>
      <w:tblPr>
        <w:tblW w:w="50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3"/>
        <w:gridCol w:w="1770"/>
        <w:gridCol w:w="1804"/>
        <w:gridCol w:w="960"/>
        <w:gridCol w:w="1000"/>
      </w:tblGrid>
      <w:tr w:rsidR="00A41C90" w:rsidTr="007A1413">
        <w:trPr>
          <w:trHeight w:val="482"/>
          <w:tblHeader/>
          <w:jc w:val="center"/>
        </w:trPr>
        <w:tc>
          <w:tcPr>
            <w:tcW w:w="1789" w:type="pct"/>
            <w:shd w:val="clear" w:color="auto" w:fill="BFBFBF" w:themeFill="background1" w:themeFillShade="BF"/>
            <w:vAlign w:val="center"/>
          </w:tcPr>
          <w:p w:rsidR="00A41C90" w:rsidRDefault="00A41C90" w:rsidP="00A41C90">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kern w:val="0"/>
                <w:sz w:val="22"/>
                <w:szCs w:val="22"/>
              </w:rPr>
              <w:t>名</w:t>
            </w:r>
            <w:r>
              <w:rPr>
                <w:rFonts w:ascii="Times New Roman" w:eastAsia="黑体" w:hAnsi="Times New Roman" w:cs="Times New Roman"/>
                <w:kern w:val="0"/>
                <w:sz w:val="22"/>
                <w:szCs w:val="22"/>
              </w:rPr>
              <w:t xml:space="preserve">  </w:t>
            </w:r>
            <w:r>
              <w:rPr>
                <w:rFonts w:ascii="Times New Roman" w:eastAsia="黑体" w:hAnsi="Times New Roman" w:cs="Times New Roman"/>
                <w:kern w:val="0"/>
                <w:sz w:val="22"/>
                <w:szCs w:val="22"/>
              </w:rPr>
              <w:t>称</w:t>
            </w:r>
          </w:p>
        </w:tc>
        <w:tc>
          <w:tcPr>
            <w:tcW w:w="1027" w:type="pct"/>
            <w:shd w:val="clear" w:color="auto" w:fill="BFBFBF" w:themeFill="background1" w:themeFillShade="BF"/>
            <w:vAlign w:val="center"/>
          </w:tcPr>
          <w:p w:rsidR="00A41C90" w:rsidRDefault="00A41C90"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kern w:val="0"/>
                <w:sz w:val="22"/>
                <w:szCs w:val="22"/>
              </w:rPr>
              <w:t>201</w:t>
            </w:r>
            <w:r w:rsidR="007A1413">
              <w:rPr>
                <w:rFonts w:ascii="Times New Roman" w:eastAsia="黑体" w:hAnsi="Times New Roman" w:cs="Times New Roman" w:hint="eastAsia"/>
                <w:kern w:val="0"/>
                <w:sz w:val="22"/>
                <w:szCs w:val="22"/>
              </w:rPr>
              <w:t>9</w:t>
            </w:r>
            <w:r>
              <w:rPr>
                <w:rFonts w:ascii="Times New Roman" w:eastAsia="黑体" w:hAnsi="Times New Roman" w:cs="Times New Roman"/>
                <w:kern w:val="0"/>
                <w:sz w:val="22"/>
                <w:szCs w:val="22"/>
              </w:rPr>
              <w:t>年度决算数</w:t>
            </w:r>
          </w:p>
        </w:tc>
        <w:tc>
          <w:tcPr>
            <w:tcW w:w="1047" w:type="pct"/>
            <w:shd w:val="clear" w:color="auto" w:fill="BFBFBF" w:themeFill="background1" w:themeFillShade="BF"/>
            <w:vAlign w:val="center"/>
          </w:tcPr>
          <w:p w:rsidR="00A41C90" w:rsidRDefault="00A41C90"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kern w:val="0"/>
                <w:sz w:val="22"/>
                <w:szCs w:val="22"/>
              </w:rPr>
              <w:t>20</w:t>
            </w:r>
            <w:r w:rsidR="007A1413">
              <w:rPr>
                <w:rFonts w:ascii="Times New Roman" w:eastAsia="黑体" w:hAnsi="Times New Roman" w:cs="Times New Roman" w:hint="eastAsia"/>
                <w:kern w:val="0"/>
                <w:sz w:val="22"/>
                <w:szCs w:val="22"/>
              </w:rPr>
              <w:t>20</w:t>
            </w:r>
            <w:r>
              <w:rPr>
                <w:rFonts w:ascii="Times New Roman" w:eastAsia="黑体" w:hAnsi="Times New Roman" w:cs="Times New Roman"/>
                <w:kern w:val="0"/>
                <w:sz w:val="22"/>
                <w:szCs w:val="22"/>
              </w:rPr>
              <w:t>年度决算数</w:t>
            </w:r>
          </w:p>
        </w:tc>
        <w:tc>
          <w:tcPr>
            <w:tcW w:w="557" w:type="pct"/>
            <w:shd w:val="clear" w:color="auto" w:fill="BFBFBF" w:themeFill="background1" w:themeFillShade="BF"/>
            <w:vAlign w:val="center"/>
          </w:tcPr>
          <w:p w:rsidR="00A41C90" w:rsidRDefault="00A41C90" w:rsidP="00A41C90">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kern w:val="0"/>
                <w:sz w:val="22"/>
                <w:szCs w:val="22"/>
              </w:rPr>
              <w:t>变动额</w:t>
            </w:r>
          </w:p>
        </w:tc>
        <w:tc>
          <w:tcPr>
            <w:tcW w:w="580" w:type="pct"/>
            <w:shd w:val="clear" w:color="auto" w:fill="BFBFBF" w:themeFill="background1" w:themeFillShade="BF"/>
            <w:vAlign w:val="center"/>
          </w:tcPr>
          <w:p w:rsidR="00A41C90" w:rsidRDefault="00A41C90" w:rsidP="00A41C90">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kern w:val="0"/>
                <w:sz w:val="22"/>
                <w:szCs w:val="22"/>
              </w:rPr>
              <w:t>变动率</w:t>
            </w:r>
          </w:p>
        </w:tc>
      </w:tr>
      <w:tr w:rsidR="007A1413" w:rsidTr="007A1413">
        <w:trPr>
          <w:trHeight w:val="510"/>
          <w:jc w:val="center"/>
        </w:trPr>
        <w:tc>
          <w:tcPr>
            <w:tcW w:w="1788" w:type="pct"/>
            <w:shd w:val="clear" w:color="auto" w:fill="auto"/>
            <w:vAlign w:val="center"/>
          </w:tcPr>
          <w:p w:rsidR="007A1413" w:rsidRDefault="007A1413" w:rsidP="00A41C90">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kern w:val="0"/>
                <w:sz w:val="22"/>
                <w:szCs w:val="22"/>
              </w:rPr>
              <w:t>合</w:t>
            </w:r>
            <w:r>
              <w:rPr>
                <w:rFonts w:ascii="Times New Roman" w:eastAsia="黑体" w:hAnsi="Times New Roman" w:cs="Times New Roman"/>
                <w:kern w:val="0"/>
                <w:sz w:val="22"/>
                <w:szCs w:val="22"/>
              </w:rPr>
              <w:t xml:space="preserve">  </w:t>
            </w:r>
            <w:r>
              <w:rPr>
                <w:rFonts w:ascii="Times New Roman" w:eastAsia="黑体" w:hAnsi="Times New Roman" w:cs="Times New Roman"/>
                <w:kern w:val="0"/>
                <w:sz w:val="22"/>
                <w:szCs w:val="22"/>
              </w:rPr>
              <w:t>计</w:t>
            </w:r>
          </w:p>
        </w:tc>
        <w:tc>
          <w:tcPr>
            <w:tcW w:w="1026" w:type="pct"/>
            <w:shd w:val="clear" w:color="auto" w:fill="auto"/>
            <w:vAlign w:val="center"/>
          </w:tcPr>
          <w:p w:rsidR="007A1413" w:rsidRDefault="007A1413" w:rsidP="00A41C90">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hint="eastAsia"/>
                <w:kern w:val="0"/>
                <w:sz w:val="22"/>
                <w:szCs w:val="22"/>
              </w:rPr>
              <w:t>193.59</w:t>
            </w:r>
          </w:p>
        </w:tc>
        <w:tc>
          <w:tcPr>
            <w:tcW w:w="1046" w:type="pct"/>
            <w:vAlign w:val="center"/>
          </w:tcPr>
          <w:p w:rsidR="007A1413" w:rsidRDefault="007A1413" w:rsidP="00A41C90">
            <w:pPr>
              <w:widowControl/>
              <w:overflowPunct w:val="0"/>
              <w:autoSpaceDE w:val="0"/>
              <w:autoSpaceDN w:val="0"/>
              <w:jc w:val="center"/>
              <w:textAlignment w:val="baseline"/>
              <w:rPr>
                <w:rFonts w:ascii="Times New Roman" w:eastAsia="黑体" w:hAnsi="Times New Roman" w:cs="Times New Roman"/>
                <w:kern w:val="0"/>
                <w:sz w:val="22"/>
                <w:szCs w:val="22"/>
              </w:rPr>
            </w:pPr>
            <w:r>
              <w:rPr>
                <w:rFonts w:ascii="Times New Roman" w:eastAsia="黑体" w:hAnsi="Times New Roman" w:cs="Times New Roman" w:hint="eastAsia"/>
                <w:kern w:val="0"/>
                <w:sz w:val="22"/>
                <w:szCs w:val="22"/>
              </w:rPr>
              <w:t>63.34</w:t>
            </w:r>
          </w:p>
        </w:tc>
        <w:tc>
          <w:tcPr>
            <w:tcW w:w="557"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-130.25</w:t>
            </w:r>
          </w:p>
        </w:tc>
        <w:tc>
          <w:tcPr>
            <w:tcW w:w="580"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-67%</w:t>
            </w:r>
          </w:p>
        </w:tc>
      </w:tr>
      <w:tr w:rsidR="007A1413" w:rsidTr="007A1413">
        <w:trPr>
          <w:trHeight w:val="510"/>
          <w:jc w:val="center"/>
        </w:trPr>
        <w:tc>
          <w:tcPr>
            <w:tcW w:w="1789" w:type="pct"/>
            <w:shd w:val="clear" w:color="auto" w:fill="auto"/>
            <w:vAlign w:val="center"/>
          </w:tcPr>
          <w:p w:rsidR="007A1413" w:rsidRDefault="007A1413" w:rsidP="00A41C90">
            <w:pPr>
              <w:widowControl/>
              <w:overflowPunct w:val="0"/>
              <w:autoSpaceDE w:val="0"/>
              <w:autoSpaceDN w:val="0"/>
              <w:jc w:val="left"/>
              <w:textAlignment w:val="baseline"/>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w:t>
            </w:r>
            <w:r>
              <w:rPr>
                <w:rFonts w:ascii="Times New Roman" w:eastAsia="仿宋_GB2312" w:hAnsi="Times New Roman" w:cs="Times New Roman"/>
                <w:kern w:val="0"/>
                <w:sz w:val="22"/>
                <w:szCs w:val="22"/>
              </w:rPr>
              <w:t>因公出国（境）费</w:t>
            </w:r>
          </w:p>
        </w:tc>
        <w:tc>
          <w:tcPr>
            <w:tcW w:w="1027" w:type="pct"/>
            <w:shd w:val="clear" w:color="auto" w:fill="auto"/>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123.83</w:t>
            </w:r>
          </w:p>
        </w:tc>
        <w:tc>
          <w:tcPr>
            <w:tcW w:w="1047" w:type="pct"/>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4.16</w:t>
            </w:r>
          </w:p>
        </w:tc>
        <w:tc>
          <w:tcPr>
            <w:tcW w:w="557"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-119.67</w:t>
            </w:r>
          </w:p>
        </w:tc>
        <w:tc>
          <w:tcPr>
            <w:tcW w:w="580"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-97%</w:t>
            </w:r>
          </w:p>
        </w:tc>
      </w:tr>
      <w:tr w:rsidR="007A1413" w:rsidTr="007A1413">
        <w:trPr>
          <w:trHeight w:val="510"/>
          <w:jc w:val="center"/>
        </w:trPr>
        <w:tc>
          <w:tcPr>
            <w:tcW w:w="1789" w:type="pct"/>
            <w:shd w:val="clear" w:color="auto" w:fill="auto"/>
            <w:vAlign w:val="center"/>
          </w:tcPr>
          <w:p w:rsidR="007A1413" w:rsidRDefault="007A1413" w:rsidP="00A41C90">
            <w:pPr>
              <w:widowControl/>
              <w:overflowPunct w:val="0"/>
              <w:autoSpaceDE w:val="0"/>
              <w:autoSpaceDN w:val="0"/>
              <w:jc w:val="left"/>
              <w:textAlignment w:val="baseline"/>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公务用车购置及运行维护费</w:t>
            </w:r>
          </w:p>
        </w:tc>
        <w:tc>
          <w:tcPr>
            <w:tcW w:w="1027" w:type="pct"/>
            <w:shd w:val="clear" w:color="auto" w:fill="auto"/>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51.6</w:t>
            </w:r>
          </w:p>
        </w:tc>
        <w:tc>
          <w:tcPr>
            <w:tcW w:w="1047" w:type="pct"/>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49.05</w:t>
            </w:r>
          </w:p>
        </w:tc>
        <w:tc>
          <w:tcPr>
            <w:tcW w:w="557"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-2.55</w:t>
            </w:r>
          </w:p>
        </w:tc>
        <w:tc>
          <w:tcPr>
            <w:tcW w:w="580"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-5%</w:t>
            </w:r>
          </w:p>
        </w:tc>
      </w:tr>
      <w:tr w:rsidR="007A1413" w:rsidTr="007A1413">
        <w:trPr>
          <w:trHeight w:val="510"/>
          <w:jc w:val="center"/>
        </w:trPr>
        <w:tc>
          <w:tcPr>
            <w:tcW w:w="1789" w:type="pct"/>
            <w:shd w:val="clear" w:color="auto" w:fill="auto"/>
            <w:vAlign w:val="center"/>
          </w:tcPr>
          <w:p w:rsidR="007A1413" w:rsidRDefault="007A1413" w:rsidP="00A41C90">
            <w:pPr>
              <w:widowControl/>
              <w:overflowPunct w:val="0"/>
              <w:autoSpaceDE w:val="0"/>
              <w:autoSpaceDN w:val="0"/>
              <w:jc w:val="left"/>
              <w:textAlignment w:val="baseline"/>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w:t>
            </w:r>
            <w:r>
              <w:rPr>
                <w:rFonts w:ascii="Times New Roman" w:eastAsia="仿宋_GB2312" w:hAnsi="Times New Roman" w:cs="Times New Roman"/>
                <w:kern w:val="0"/>
                <w:sz w:val="22"/>
                <w:szCs w:val="22"/>
              </w:rPr>
              <w:t>1</w:t>
            </w:r>
            <w:r>
              <w:rPr>
                <w:rFonts w:ascii="Times New Roman" w:eastAsia="仿宋_GB2312" w:hAnsi="Times New Roman" w:cs="Times New Roman"/>
                <w:kern w:val="0"/>
                <w:sz w:val="22"/>
                <w:szCs w:val="22"/>
              </w:rPr>
              <w:t>）公务用车购置费</w:t>
            </w:r>
          </w:p>
        </w:tc>
        <w:tc>
          <w:tcPr>
            <w:tcW w:w="1027" w:type="pct"/>
            <w:shd w:val="clear" w:color="auto" w:fill="auto"/>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0</w:t>
            </w:r>
          </w:p>
        </w:tc>
        <w:tc>
          <w:tcPr>
            <w:tcW w:w="1047" w:type="pct"/>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18.79</w:t>
            </w:r>
          </w:p>
        </w:tc>
        <w:tc>
          <w:tcPr>
            <w:tcW w:w="557"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18.79</w:t>
            </w:r>
          </w:p>
        </w:tc>
        <w:tc>
          <w:tcPr>
            <w:tcW w:w="580"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hint="eastAsia"/>
                <w:kern w:val="0"/>
                <w:sz w:val="22"/>
                <w:szCs w:val="22"/>
              </w:rPr>
              <w:t>100%</w:t>
            </w:r>
          </w:p>
        </w:tc>
      </w:tr>
      <w:tr w:rsidR="007A1413" w:rsidTr="007A1413">
        <w:trPr>
          <w:trHeight w:val="510"/>
          <w:jc w:val="center"/>
        </w:trPr>
        <w:tc>
          <w:tcPr>
            <w:tcW w:w="1789" w:type="pct"/>
            <w:shd w:val="clear" w:color="auto" w:fill="auto"/>
            <w:vAlign w:val="center"/>
          </w:tcPr>
          <w:p w:rsidR="007A1413" w:rsidRDefault="007A1413" w:rsidP="00A41C90">
            <w:pPr>
              <w:widowControl/>
              <w:overflowPunct w:val="0"/>
              <w:autoSpaceDE w:val="0"/>
              <w:autoSpaceDN w:val="0"/>
              <w:jc w:val="left"/>
              <w:textAlignment w:val="baseline"/>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w:t>
            </w:r>
            <w:r>
              <w:rPr>
                <w:rFonts w:ascii="Times New Roman" w:eastAsia="仿宋_GB2312" w:hAnsi="Times New Roman" w:cs="Times New Roman"/>
                <w:kern w:val="0"/>
                <w:sz w:val="22"/>
                <w:szCs w:val="22"/>
              </w:rPr>
              <w:t>2</w:t>
            </w:r>
            <w:r>
              <w:rPr>
                <w:rFonts w:ascii="Times New Roman" w:eastAsia="仿宋_GB2312" w:hAnsi="Times New Roman" w:cs="Times New Roman"/>
                <w:kern w:val="0"/>
                <w:sz w:val="22"/>
                <w:szCs w:val="22"/>
              </w:rPr>
              <w:t>）公务用车运行维护费</w:t>
            </w:r>
          </w:p>
        </w:tc>
        <w:tc>
          <w:tcPr>
            <w:tcW w:w="1027" w:type="pct"/>
            <w:shd w:val="clear" w:color="auto" w:fill="auto"/>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51.6</w:t>
            </w:r>
          </w:p>
        </w:tc>
        <w:tc>
          <w:tcPr>
            <w:tcW w:w="1047" w:type="pct"/>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30.26</w:t>
            </w:r>
          </w:p>
        </w:tc>
        <w:tc>
          <w:tcPr>
            <w:tcW w:w="557"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-21.34</w:t>
            </w:r>
          </w:p>
        </w:tc>
        <w:tc>
          <w:tcPr>
            <w:tcW w:w="580" w:type="pct"/>
            <w:shd w:val="clear" w:color="auto" w:fill="FFFFFF"/>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-41%</w:t>
            </w:r>
          </w:p>
        </w:tc>
      </w:tr>
      <w:tr w:rsidR="007A1413" w:rsidTr="007A1413">
        <w:trPr>
          <w:trHeight w:val="510"/>
          <w:jc w:val="center"/>
        </w:trPr>
        <w:tc>
          <w:tcPr>
            <w:tcW w:w="1789" w:type="pct"/>
            <w:vAlign w:val="center"/>
          </w:tcPr>
          <w:p w:rsidR="007A1413" w:rsidRDefault="007A1413" w:rsidP="00A41C90">
            <w:pPr>
              <w:widowControl/>
              <w:overflowPunct w:val="0"/>
              <w:autoSpaceDE w:val="0"/>
              <w:autoSpaceDN w:val="0"/>
              <w:jc w:val="left"/>
              <w:textAlignment w:val="baseline"/>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3.</w:t>
            </w:r>
            <w:r>
              <w:rPr>
                <w:rFonts w:ascii="Times New Roman" w:eastAsia="仿宋_GB2312" w:hAnsi="Times New Roman" w:cs="Times New Roman"/>
                <w:kern w:val="0"/>
                <w:sz w:val="22"/>
                <w:szCs w:val="22"/>
              </w:rPr>
              <w:t>公务接待费</w:t>
            </w:r>
          </w:p>
        </w:tc>
        <w:tc>
          <w:tcPr>
            <w:tcW w:w="1027" w:type="pct"/>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18.16</w:t>
            </w:r>
          </w:p>
        </w:tc>
        <w:tc>
          <w:tcPr>
            <w:tcW w:w="1047" w:type="pct"/>
            <w:vAlign w:val="center"/>
          </w:tcPr>
          <w:p w:rsidR="007A1413" w:rsidRDefault="007A1413" w:rsidP="00A41C90">
            <w:pPr>
              <w:widowControl/>
              <w:overflowPunct w:val="0"/>
              <w:autoSpaceDE w:val="0"/>
              <w:autoSpaceDN w:val="0"/>
              <w:jc w:val="center"/>
              <w:textAlignment w:val="baseline"/>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10.14</w:t>
            </w:r>
          </w:p>
        </w:tc>
        <w:tc>
          <w:tcPr>
            <w:tcW w:w="557" w:type="pct"/>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-8.02</w:t>
            </w:r>
          </w:p>
        </w:tc>
        <w:tc>
          <w:tcPr>
            <w:tcW w:w="580" w:type="pct"/>
            <w:vAlign w:val="center"/>
          </w:tcPr>
          <w:p w:rsidR="007A1413" w:rsidRPr="007A1413" w:rsidRDefault="007A1413" w:rsidP="007A1413">
            <w:pPr>
              <w:widowControl/>
              <w:overflowPunct w:val="0"/>
              <w:autoSpaceDE w:val="0"/>
              <w:autoSpaceDN w:val="0"/>
              <w:jc w:val="center"/>
              <w:textAlignment w:val="baseline"/>
              <w:rPr>
                <w:rFonts w:ascii="Times New Roman" w:eastAsia="黑体" w:hAnsi="Times New Roman" w:cs="Times New Roman"/>
                <w:kern w:val="0"/>
                <w:sz w:val="22"/>
                <w:szCs w:val="22"/>
              </w:rPr>
            </w:pPr>
            <w:r w:rsidRPr="007A1413">
              <w:rPr>
                <w:rFonts w:ascii="Times New Roman" w:eastAsia="黑体" w:hAnsi="Times New Roman" w:cs="Times New Roman"/>
                <w:kern w:val="0"/>
                <w:sz w:val="22"/>
                <w:szCs w:val="22"/>
              </w:rPr>
              <w:t>-44%</w:t>
            </w:r>
          </w:p>
        </w:tc>
      </w:tr>
    </w:tbl>
    <w:p w:rsidR="00A41C90" w:rsidRPr="00AE0794" w:rsidRDefault="00A41C90" w:rsidP="00B87803">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⑥政府采购执行率：指标满分3分，评价得分</w:t>
      </w:r>
      <w:r w:rsidR="007A1413" w:rsidRPr="00AE0794">
        <w:rPr>
          <w:rFonts w:ascii="仿宋_GB2312" w:eastAsia="仿宋_GB2312" w:hAnsi="Times New Roman" w:cs="Times New Roman" w:hint="eastAsia"/>
          <w:sz w:val="32"/>
          <w:szCs w:val="32"/>
        </w:rPr>
        <w:t>3</w:t>
      </w:r>
      <w:r w:rsidRPr="00AE0794">
        <w:rPr>
          <w:rFonts w:ascii="仿宋_GB2312" w:eastAsia="仿宋_GB2312" w:hAnsi="Times New Roman" w:cs="Times New Roman" w:hint="eastAsia"/>
          <w:sz w:val="32"/>
          <w:szCs w:val="32"/>
        </w:rPr>
        <w:t>分，得分率为</w:t>
      </w:r>
      <w:r w:rsidR="007A1413"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%。20</w:t>
      </w:r>
      <w:r w:rsidR="007A1413"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年度，青岛市文化和旅游局计划政采金额</w:t>
      </w:r>
      <w:r w:rsidR="000826C1" w:rsidRPr="00AE0794">
        <w:rPr>
          <w:rFonts w:ascii="仿宋_GB2312" w:eastAsia="仿宋_GB2312" w:hAnsi="Times New Roman" w:cs="Times New Roman" w:hint="eastAsia"/>
          <w:sz w:val="32"/>
          <w:szCs w:val="32"/>
        </w:rPr>
        <w:t>70619.83</w:t>
      </w:r>
      <w:r w:rsidR="00B87803" w:rsidRPr="00AE0794">
        <w:rPr>
          <w:rFonts w:ascii="仿宋_GB2312" w:eastAsia="仿宋_GB2312" w:hAnsi="Times New Roman" w:cs="Times New Roman" w:hint="eastAsia"/>
          <w:sz w:val="32"/>
          <w:szCs w:val="32"/>
        </w:rPr>
        <w:t>万元</w:t>
      </w:r>
      <w:r w:rsidRPr="00AE0794">
        <w:rPr>
          <w:rFonts w:ascii="仿宋_GB2312" w:eastAsia="仿宋_GB2312" w:hAnsi="Times New Roman" w:cs="Times New Roman" w:hint="eastAsia"/>
          <w:sz w:val="32"/>
          <w:szCs w:val="32"/>
        </w:rPr>
        <w:t>。实际采购金额</w:t>
      </w:r>
      <w:r w:rsidR="000826C1" w:rsidRPr="00AE0794">
        <w:rPr>
          <w:rFonts w:ascii="仿宋_GB2312" w:eastAsia="仿宋_GB2312" w:hAnsi="Times New Roman" w:cs="Times New Roman" w:hint="eastAsia"/>
          <w:sz w:val="32"/>
          <w:szCs w:val="32"/>
        </w:rPr>
        <w:t>67549.66</w:t>
      </w:r>
      <w:r w:rsidRPr="00AE0794">
        <w:rPr>
          <w:rFonts w:ascii="仿宋_GB2312" w:eastAsia="仿宋_GB2312" w:hAnsi="Times New Roman" w:cs="Times New Roman" w:hint="eastAsia"/>
          <w:sz w:val="32"/>
          <w:szCs w:val="32"/>
        </w:rPr>
        <w:t>万元，其中：政府采购货物金额</w:t>
      </w:r>
      <w:r w:rsidR="000826C1" w:rsidRPr="00AE0794">
        <w:rPr>
          <w:rFonts w:ascii="仿宋_GB2312" w:eastAsia="仿宋_GB2312" w:hAnsi="Times New Roman" w:cs="Times New Roman" w:hint="eastAsia"/>
          <w:sz w:val="32"/>
          <w:szCs w:val="32"/>
        </w:rPr>
        <w:t>831.78</w:t>
      </w:r>
      <w:r w:rsidRPr="00AE0794">
        <w:rPr>
          <w:rFonts w:ascii="仿宋_GB2312" w:eastAsia="仿宋_GB2312" w:hAnsi="Times New Roman" w:cs="Times New Roman" w:hint="eastAsia"/>
          <w:sz w:val="32"/>
          <w:szCs w:val="32"/>
        </w:rPr>
        <w:t>万元、政府采购工程金额</w:t>
      </w:r>
      <w:r w:rsidR="000826C1" w:rsidRPr="00AE0794">
        <w:rPr>
          <w:rFonts w:ascii="仿宋_GB2312" w:eastAsia="仿宋_GB2312" w:hAnsi="Times New Roman" w:cs="Times New Roman" w:hint="eastAsia"/>
          <w:sz w:val="32"/>
          <w:szCs w:val="32"/>
        </w:rPr>
        <w:t>61555.07</w:t>
      </w:r>
      <w:r w:rsidRPr="00AE0794">
        <w:rPr>
          <w:rFonts w:ascii="仿宋_GB2312" w:eastAsia="仿宋_GB2312" w:hAnsi="Times New Roman" w:cs="Times New Roman" w:hint="eastAsia"/>
          <w:sz w:val="32"/>
          <w:szCs w:val="32"/>
        </w:rPr>
        <w:t>万元、政府采购服务金额</w:t>
      </w:r>
      <w:r w:rsidR="000826C1" w:rsidRPr="00AE0794">
        <w:rPr>
          <w:rFonts w:ascii="仿宋_GB2312" w:eastAsia="仿宋_GB2312" w:hAnsi="Times New Roman" w:cs="Times New Roman" w:hint="eastAsia"/>
          <w:sz w:val="32"/>
          <w:szCs w:val="32"/>
        </w:rPr>
        <w:t>5162.8</w:t>
      </w:r>
      <w:r w:rsidRPr="00AE0794">
        <w:rPr>
          <w:rFonts w:ascii="仿宋_GB2312" w:eastAsia="仿宋_GB2312" w:hAnsi="Times New Roman" w:cs="Times New Roman" w:hint="eastAsia"/>
          <w:sz w:val="32"/>
          <w:szCs w:val="32"/>
        </w:rPr>
        <w:t>万元。政府采购执行率</w:t>
      </w:r>
      <w:r w:rsidR="000826C1" w:rsidRPr="00AE0794">
        <w:rPr>
          <w:rFonts w:ascii="仿宋_GB2312" w:eastAsia="仿宋_GB2312" w:hAnsi="Times New Roman" w:cs="Times New Roman" w:hint="eastAsia"/>
          <w:sz w:val="32"/>
          <w:szCs w:val="32"/>
        </w:rPr>
        <w:t>95.65</w:t>
      </w:r>
      <w:r w:rsidRPr="00AE0794">
        <w:rPr>
          <w:rFonts w:ascii="仿宋_GB2312" w:eastAsia="仿宋_GB2312" w:hAnsi="Times New Roman" w:cs="Times New Roman" w:hint="eastAsia"/>
          <w:sz w:val="32"/>
          <w:szCs w:val="32"/>
        </w:rPr>
        <w:t>%，</w:t>
      </w:r>
      <w:r w:rsidR="000826C1" w:rsidRPr="00AE0794">
        <w:rPr>
          <w:rFonts w:ascii="仿宋_GB2312" w:eastAsia="仿宋_GB2312" w:hAnsi="Times New Roman" w:cs="Times New Roman" w:hint="eastAsia"/>
          <w:sz w:val="32"/>
          <w:szCs w:val="32"/>
        </w:rPr>
        <w:t>不做扣分处理</w:t>
      </w:r>
      <w:r w:rsidRPr="00AE0794">
        <w:rPr>
          <w:rFonts w:ascii="仿宋_GB2312" w:eastAsia="仿宋_GB2312" w:hAnsi="Times New Roman" w:cs="Times New Roman" w:hint="eastAsia"/>
          <w:sz w:val="32"/>
          <w:szCs w:val="32"/>
        </w:rPr>
        <w:t>。</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（2）预算管理。主要对部门整体管理制度的健全性、资金使用的合规性、预决算信息公开性和基础信息完善性进行评价。</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①管理制度健全性：指标满分2分，评价得分2分，得分率为100%。青岛市文化和旅游局根据各项专项资金管理工作需要，制定有《青岛市市级文化和旅游产业发展专项资金管理办法》等系列预算资金管理办法，同时，制定有管理制度手册，涵盖财务工作管理制度、国有资产管理办法、采购合同管理办法、内部审计制度、政府采购管理办法、局属单位财务管理工作制度、财务管理中心财务审核管理办法等，财务管理制度合法、合规完整。项目组通过现场调研，文旅</w:t>
      </w:r>
      <w:r w:rsidRPr="00AE0794">
        <w:rPr>
          <w:rFonts w:ascii="仿宋_GB2312" w:eastAsia="仿宋_GB2312" w:hAnsi="Times New Roman" w:cs="Times New Roman" w:hint="eastAsia"/>
          <w:sz w:val="32"/>
          <w:szCs w:val="32"/>
        </w:rPr>
        <w:lastRenderedPageBreak/>
        <w:t>局能够按照制定的各项制度开展相关工作，相关制度有效执行。</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②资金使用合规性：指标满分2分，评价得分2分，得分率为100%。市文旅局资金拨付有完整的审批程序和手续；项目组现场抽查核实凭证，未发现资金截留、挤占、挪用、虚列支出等情况。</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③预决算信息公开性：指标满分2分，评价得分2分，得分率为100%。青岛市文化和旅游局20</w:t>
      </w:r>
      <w:r w:rsidR="000826C1"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年度部门预算于20</w:t>
      </w:r>
      <w:r w:rsidR="000826C1"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年2月在“青岛政务网”</w:t>
      </w:r>
      <w:r w:rsidR="000826C1" w:rsidRPr="00AE0794">
        <w:rPr>
          <w:rFonts w:ascii="仿宋_GB2312" w:eastAsia="仿宋_GB2312" w:hAnsi="Times New Roman" w:cs="Times New Roman" w:hint="eastAsia"/>
          <w:sz w:val="32"/>
          <w:szCs w:val="32"/>
        </w:rPr>
        <w:t>和部门网站进行</w:t>
      </w:r>
      <w:r w:rsidRPr="00AE0794">
        <w:rPr>
          <w:rFonts w:ascii="仿宋_GB2312" w:eastAsia="仿宋_GB2312" w:hAnsi="Times New Roman" w:cs="Times New Roman" w:hint="eastAsia"/>
          <w:sz w:val="32"/>
          <w:szCs w:val="32"/>
        </w:rPr>
        <w:t>公开，青岛市文化和旅游局2019年度部门决算于2020年8月在“青岛政务网”公开，涵盖部门政府采购、资产管理、绩效管理等相关信息。</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④基础信息完善性：指标满分3分，评价得分3分，得分率为100%。青岛市文化和旅游局基础数据信息和会计信息均通过信息化软件管理，基础数据信息通过财政部门基础信息库统一管理，会计信息通过专业财务软件登记核算管理，保障了基础数据的真实、完整、准确。</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（3）资产管理。主要对部门整体固定资产利用率和资产管理的规范性进行评价。</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①固定资产利用率：指标满分3分，评价得分3分，得分率为100%。项目组通过现场核查，青岛市文化和旅游局</w:t>
      </w:r>
      <w:r w:rsidR="000826C1" w:rsidRPr="00AE0794">
        <w:rPr>
          <w:rFonts w:ascii="仿宋_GB2312" w:eastAsia="仿宋_GB2312" w:hAnsi="Times New Roman" w:cs="Times New Roman" w:hint="eastAsia"/>
          <w:sz w:val="32"/>
          <w:szCs w:val="32"/>
        </w:rPr>
        <w:t>2020</w:t>
      </w:r>
      <w:r w:rsidRPr="00AE0794">
        <w:rPr>
          <w:rFonts w:ascii="仿宋_GB2312" w:eastAsia="仿宋_GB2312" w:hAnsi="Times New Roman" w:cs="Times New Roman" w:hint="eastAsia"/>
          <w:sz w:val="32"/>
          <w:szCs w:val="32"/>
        </w:rPr>
        <w:t>年度固定资产利用率为100%，资产配置合理。</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②资产管理规范性：指标满分3分，评价得分</w:t>
      </w:r>
      <w:r w:rsidR="000826C1" w:rsidRPr="00AE0794">
        <w:rPr>
          <w:rFonts w:ascii="仿宋_GB2312" w:eastAsia="仿宋_GB2312" w:hAnsi="Times New Roman" w:cs="Times New Roman" w:hint="eastAsia"/>
          <w:sz w:val="32"/>
          <w:szCs w:val="32"/>
        </w:rPr>
        <w:t>3</w:t>
      </w:r>
      <w:r w:rsidRPr="00AE0794">
        <w:rPr>
          <w:rFonts w:ascii="仿宋_GB2312" w:eastAsia="仿宋_GB2312" w:hAnsi="Times New Roman" w:cs="Times New Roman" w:hint="eastAsia"/>
          <w:sz w:val="32"/>
          <w:szCs w:val="32"/>
        </w:rPr>
        <w:t>分，得分率为</w:t>
      </w:r>
      <w:r w:rsidR="000826C1"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%。市文旅局制定有《青岛市文化和旅游局会议室</w:t>
      </w:r>
      <w:r w:rsidRPr="00AE0794">
        <w:rPr>
          <w:rFonts w:ascii="仿宋_GB2312" w:eastAsia="仿宋_GB2312" w:hAnsi="Times New Roman" w:cs="Times New Roman" w:hint="eastAsia"/>
          <w:sz w:val="32"/>
          <w:szCs w:val="32"/>
        </w:rPr>
        <w:lastRenderedPageBreak/>
        <w:t>使用管理制度》、《青岛市文化和旅游局车辆及驾驶员管理制度》、《青岛市文化和旅游局办公用品物资管理使用制度》、《青岛市文化和旅游局国有资产管理办法》等，项目组现场查阅了固定资产管理台账及固定资产盘点记录，资产管理制度合法、合规、完整，并得到有效执行，资产符合配置标准，资产的使用、处置合规，未发现有偿使用的资产。</w:t>
      </w:r>
    </w:p>
    <w:p w:rsidR="00A41C90" w:rsidRDefault="00A41C90" w:rsidP="00A41C90">
      <w:pPr>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3.</w:t>
      </w:r>
      <w:r>
        <w:rPr>
          <w:rFonts w:ascii="Times New Roman" w:eastAsia="仿宋" w:hAnsi="Times New Roman" w:cs="Times New Roman"/>
          <w:b/>
          <w:bCs/>
          <w:sz w:val="32"/>
          <w:szCs w:val="32"/>
        </w:rPr>
        <w:t>项目产出情况</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该指标下设1个二级指标，即“职责履行”，主要对部门整体工作的实际完成率、完成及时率、质量达标率和重点工作办结率进行评价。</w:t>
      </w:r>
    </w:p>
    <w:p w:rsidR="00A41C90" w:rsidRDefault="00A41C90" w:rsidP="00A41C90">
      <w:pPr>
        <w:snapToGrid w:val="0"/>
        <w:jc w:val="center"/>
        <w:rPr>
          <w:rFonts w:ascii="Times New Roman" w:eastAsia="仿宋_GB2312" w:hAnsi="Times New Roman" w:cs="Times New Roman"/>
          <w:sz w:val="30"/>
          <w:szCs w:val="24"/>
        </w:rPr>
      </w:pPr>
      <w:r>
        <w:rPr>
          <w:rFonts w:ascii="Times New Roman" w:eastAsia="黑体" w:hAnsi="Times New Roman" w:cs="Times New Roman"/>
          <w:sz w:val="22"/>
          <w:szCs w:val="22"/>
        </w:rPr>
        <w:t>表</w:t>
      </w:r>
      <w:r>
        <w:rPr>
          <w:rFonts w:ascii="Times New Roman" w:eastAsia="黑体" w:hAnsi="Times New Roman" w:cs="Times New Roman"/>
          <w:sz w:val="22"/>
          <w:szCs w:val="22"/>
        </w:rPr>
        <w:t xml:space="preserve">3.5  </w:t>
      </w:r>
      <w:r>
        <w:rPr>
          <w:rFonts w:ascii="Times New Roman" w:eastAsia="黑体" w:hAnsi="Times New Roman" w:cs="Times New Roman"/>
          <w:sz w:val="22"/>
          <w:szCs w:val="22"/>
        </w:rPr>
        <w:t>项目产出二级、三级指标得分情况表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613"/>
        <w:gridCol w:w="1045"/>
        <w:gridCol w:w="1046"/>
        <w:gridCol w:w="2541"/>
        <w:gridCol w:w="1041"/>
        <w:gridCol w:w="1041"/>
      </w:tblGrid>
      <w:tr w:rsidR="00A41C90" w:rsidTr="00A41C90">
        <w:trPr>
          <w:trHeight w:val="312"/>
        </w:trPr>
        <w:tc>
          <w:tcPr>
            <w:tcW w:w="967"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sz w:val="22"/>
                <w:szCs w:val="22"/>
              </w:rPr>
            </w:pPr>
            <w:r>
              <w:rPr>
                <w:rFonts w:ascii="Times New Roman" w:eastAsia="黑体" w:hAnsi="Times New Roman" w:cs="Times New Roman"/>
                <w:bCs/>
                <w:kern w:val="0"/>
                <w:sz w:val="22"/>
                <w:szCs w:val="22"/>
              </w:rPr>
              <w:t>二级指标</w:t>
            </w:r>
          </w:p>
        </w:tc>
        <w:tc>
          <w:tcPr>
            <w:tcW w:w="627"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628"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c>
          <w:tcPr>
            <w:tcW w:w="1525"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三级指标</w:t>
            </w:r>
          </w:p>
        </w:tc>
        <w:tc>
          <w:tcPr>
            <w:tcW w:w="625"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625"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r>
      <w:tr w:rsidR="00A41C90" w:rsidTr="00A41C90">
        <w:trPr>
          <w:trHeight w:val="312"/>
        </w:trPr>
        <w:tc>
          <w:tcPr>
            <w:tcW w:w="967" w:type="pct"/>
            <w:vMerge w:val="restart"/>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职责履行（</w:t>
            </w:r>
            <w:r>
              <w:rPr>
                <w:rFonts w:ascii="Times New Roman" w:eastAsia="仿宋_GB2312" w:hAnsi="Times New Roman" w:cs="Times New Roman"/>
                <w:kern w:val="0"/>
                <w:sz w:val="22"/>
                <w:szCs w:val="22"/>
              </w:rPr>
              <w:t>30</w:t>
            </w:r>
            <w:r>
              <w:rPr>
                <w:rFonts w:ascii="Times New Roman" w:eastAsia="仿宋_GB2312" w:hAnsi="Times New Roman" w:cs="Times New Roman"/>
                <w:kern w:val="0"/>
                <w:sz w:val="22"/>
                <w:szCs w:val="22"/>
              </w:rPr>
              <w:t>分）</w:t>
            </w:r>
          </w:p>
        </w:tc>
        <w:tc>
          <w:tcPr>
            <w:tcW w:w="627" w:type="pct"/>
            <w:vMerge w:val="restar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30</w:t>
            </w:r>
          </w:p>
        </w:tc>
        <w:tc>
          <w:tcPr>
            <w:tcW w:w="628" w:type="pct"/>
            <w:vMerge w:val="restar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c>
          <w:tcPr>
            <w:tcW w:w="1525"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实际完成率（</w:t>
            </w:r>
            <w:r>
              <w:rPr>
                <w:rFonts w:ascii="Times New Roman" w:eastAsia="仿宋_GB2312" w:hAnsi="Times New Roman" w:cs="Times New Roman"/>
                <w:kern w:val="0"/>
                <w:sz w:val="22"/>
                <w:szCs w:val="22"/>
              </w:rPr>
              <w:t>7</w:t>
            </w:r>
            <w:r>
              <w:rPr>
                <w:rFonts w:ascii="Times New Roman" w:eastAsia="仿宋_GB2312" w:hAnsi="Times New Roman" w:cs="Times New Roman"/>
                <w:kern w:val="0"/>
                <w:sz w:val="22"/>
                <w:szCs w:val="22"/>
              </w:rPr>
              <w:t>分）</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7</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r>
      <w:tr w:rsidR="00A41C90" w:rsidTr="00A41C90">
        <w:trPr>
          <w:trHeight w:val="312"/>
        </w:trPr>
        <w:tc>
          <w:tcPr>
            <w:tcW w:w="967"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627"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628"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525"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完成及时率（</w:t>
            </w:r>
            <w:r>
              <w:rPr>
                <w:rFonts w:ascii="Times New Roman" w:eastAsia="仿宋_GB2312" w:hAnsi="Times New Roman" w:cs="Times New Roman"/>
                <w:kern w:val="0"/>
                <w:sz w:val="22"/>
                <w:szCs w:val="22"/>
              </w:rPr>
              <w:t>7</w:t>
            </w:r>
            <w:r>
              <w:rPr>
                <w:rFonts w:ascii="Times New Roman" w:eastAsia="仿宋_GB2312" w:hAnsi="Times New Roman" w:cs="Times New Roman"/>
                <w:kern w:val="0"/>
                <w:sz w:val="22"/>
                <w:szCs w:val="22"/>
              </w:rPr>
              <w:t>分）</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7</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r>
      <w:tr w:rsidR="00A41C90" w:rsidTr="00A41C90">
        <w:trPr>
          <w:trHeight w:val="312"/>
        </w:trPr>
        <w:tc>
          <w:tcPr>
            <w:tcW w:w="967"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627"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628"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525"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质量达标率（</w:t>
            </w:r>
            <w:r>
              <w:rPr>
                <w:rFonts w:ascii="Times New Roman" w:eastAsia="仿宋_GB2312" w:hAnsi="Times New Roman" w:cs="Times New Roman"/>
                <w:kern w:val="0"/>
                <w:sz w:val="22"/>
                <w:szCs w:val="22"/>
              </w:rPr>
              <w:t>7</w:t>
            </w:r>
            <w:r>
              <w:rPr>
                <w:rFonts w:ascii="Times New Roman" w:eastAsia="仿宋_GB2312" w:hAnsi="Times New Roman" w:cs="Times New Roman"/>
                <w:kern w:val="0"/>
                <w:sz w:val="22"/>
                <w:szCs w:val="22"/>
              </w:rPr>
              <w:t>分）</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7</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r>
      <w:tr w:rsidR="00A41C90" w:rsidTr="00A41C90">
        <w:trPr>
          <w:trHeight w:val="312"/>
        </w:trPr>
        <w:tc>
          <w:tcPr>
            <w:tcW w:w="967"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627"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628"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525"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重点工作办结率（</w:t>
            </w:r>
            <w:r>
              <w:rPr>
                <w:rFonts w:ascii="Times New Roman" w:eastAsia="仿宋_GB2312" w:hAnsi="Times New Roman" w:cs="Times New Roman"/>
                <w:kern w:val="0"/>
                <w:sz w:val="22"/>
                <w:szCs w:val="22"/>
              </w:rPr>
              <w:t>9</w:t>
            </w:r>
            <w:r>
              <w:rPr>
                <w:rFonts w:ascii="Times New Roman" w:eastAsia="仿宋_GB2312" w:hAnsi="Times New Roman" w:cs="Times New Roman"/>
                <w:kern w:val="0"/>
                <w:sz w:val="22"/>
                <w:szCs w:val="22"/>
              </w:rPr>
              <w:t>分）</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9</w:t>
            </w:r>
          </w:p>
        </w:tc>
        <w:tc>
          <w:tcPr>
            <w:tcW w:w="625" w:type="pct"/>
            <w:noWrap/>
            <w:tcMar>
              <w:top w:w="12" w:type="dxa"/>
              <w:left w:w="12" w:type="dxa"/>
              <w:right w:w="12" w:type="dxa"/>
            </w:tcMar>
            <w:vAlign w:val="center"/>
          </w:tcPr>
          <w:p w:rsidR="00A41C90" w:rsidRDefault="007D6A9B"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r>
    </w:tbl>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（1）实际完成率：指标满分7分，评价得分</w:t>
      </w:r>
      <w:r w:rsidR="007D6A9B" w:rsidRPr="00AE0794">
        <w:rPr>
          <w:rFonts w:ascii="仿宋_GB2312" w:eastAsia="仿宋_GB2312" w:hAnsi="Times New Roman" w:cs="Times New Roman" w:hint="eastAsia"/>
          <w:sz w:val="32"/>
          <w:szCs w:val="32"/>
        </w:rPr>
        <w:t>7</w:t>
      </w:r>
      <w:r w:rsidRPr="00AE0794">
        <w:rPr>
          <w:rFonts w:ascii="仿宋_GB2312" w:eastAsia="仿宋_GB2312" w:hAnsi="Times New Roman" w:cs="Times New Roman" w:hint="eastAsia"/>
          <w:sz w:val="32"/>
          <w:szCs w:val="32"/>
        </w:rPr>
        <w:t>分，得分率为</w:t>
      </w:r>
      <w:r w:rsidR="007D6A9B"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%。主要包括十五大攻势攻坚任务实际完成率、财政投资建设项目完成率、部门专项项目完成率。</w:t>
      </w:r>
    </w:p>
    <w:p w:rsidR="000236D0" w:rsidRPr="00AE0794" w:rsidRDefault="000236D0" w:rsidP="007D6A9B">
      <w:pPr>
        <w:pStyle w:val="a2"/>
        <w:spacing w:line="560" w:lineRule="exact"/>
        <w:ind w:firstLine="640"/>
        <w:rPr>
          <w:rFonts w:ascii="仿宋_GB2312"/>
          <w:color w:val="0D0D0D" w:themeColor="text1" w:themeTint="F2"/>
          <w:sz w:val="32"/>
          <w:szCs w:val="32"/>
          <w:lang w:val="en-US"/>
        </w:rPr>
      </w:pPr>
      <w:r w:rsidRPr="00AE0794">
        <w:rPr>
          <w:rFonts w:ascii="仿宋_GB2312" w:hint="eastAsia"/>
          <w:color w:val="0D0D0D" w:themeColor="text1" w:themeTint="F2"/>
          <w:sz w:val="32"/>
          <w:szCs w:val="32"/>
          <w:lang w:val="en-US"/>
        </w:rPr>
        <w:t>①专项资金绩效完成情况</w:t>
      </w:r>
    </w:p>
    <w:p w:rsidR="007D6A9B" w:rsidRPr="00AE0794" w:rsidRDefault="007D6A9B" w:rsidP="007D6A9B">
      <w:pPr>
        <w:pStyle w:val="a2"/>
        <w:spacing w:line="560" w:lineRule="exact"/>
        <w:ind w:firstLine="640"/>
        <w:rPr>
          <w:rFonts w:ascii="仿宋_GB2312"/>
          <w:color w:val="0D0D0D" w:themeColor="text1" w:themeTint="F2"/>
          <w:sz w:val="32"/>
          <w:szCs w:val="32"/>
          <w:lang w:val="en-US"/>
        </w:rPr>
      </w:pPr>
      <w:r w:rsidRPr="00AE0794">
        <w:rPr>
          <w:rFonts w:ascii="仿宋_GB2312" w:hint="eastAsia"/>
          <w:color w:val="0D0D0D" w:themeColor="text1" w:themeTint="F2"/>
          <w:sz w:val="32"/>
          <w:szCs w:val="32"/>
          <w:lang w:val="en-US"/>
        </w:rPr>
        <w:t>文化事业发展资金绩效目标完成情况：</w:t>
      </w:r>
    </w:p>
    <w:p w:rsidR="007D6A9B" w:rsidRPr="00AE0794" w:rsidRDefault="007D6A9B" w:rsidP="007D6A9B">
      <w:pPr>
        <w:pStyle w:val="a2"/>
        <w:spacing w:line="560" w:lineRule="exact"/>
        <w:ind w:firstLine="640"/>
        <w:rPr>
          <w:rFonts w:ascii="仿宋_GB2312"/>
          <w:color w:val="0D0D0D" w:themeColor="text1" w:themeTint="F2"/>
          <w:sz w:val="32"/>
          <w:szCs w:val="32"/>
          <w:lang w:val="en-US"/>
        </w:rPr>
      </w:pPr>
      <w:r w:rsidRPr="00AE0794">
        <w:rPr>
          <w:rFonts w:ascii="仿宋_GB2312" w:hint="eastAsia"/>
          <w:color w:val="0D0D0D" w:themeColor="text1" w:themeTint="F2"/>
          <w:sz w:val="32"/>
          <w:szCs w:val="32"/>
          <w:lang w:val="en-US"/>
        </w:rPr>
        <w:t>购书及古籍保护资金，市图书馆订购数字资源数据库完成28个，完成预算25个的指标任务、新增纸质文献4.02万种，完成预算4万个的指标任务、文献资源正版率100%，任务目标完成、馆藏文献增长率2.7%，受疫情影响出版社和</w:t>
      </w:r>
      <w:r w:rsidRPr="00AE0794">
        <w:rPr>
          <w:rFonts w:ascii="仿宋_GB2312" w:hint="eastAsia"/>
          <w:color w:val="0D0D0D" w:themeColor="text1" w:themeTint="F2"/>
          <w:sz w:val="32"/>
          <w:szCs w:val="32"/>
          <w:lang w:val="en-US"/>
        </w:rPr>
        <w:lastRenderedPageBreak/>
        <w:t>物流复工较晚造成图书入藏数量减少未完成增长3%的目标任务；交响乐团优秀剧目创作补助资金，优秀剧目演出总场次219场次，完成预算190场次的目标任务、优秀剧目演出上座率40%，任务目标完成、优秀剧目演出票房收入178万元，完成年初100万元的目标任务；非遗项目和传承人补助资金，补助非遗代表性项目5个，完成目标任务、非遗传承人评审认定完成100%、非遗传承收徒传艺人数80人，主要是俩非遗传承人去世减少了2个非遗传承人；文化事业发展资金（补助区市）(乡村振兴资金)补助行政村数量360个，完成目标任务；农村文化建设（农村电影放映）补助资金，农村电影放映场次6.7万场，受疫情部分村实行封村影响未完成6.9万场次的目标任务，相应调减资金、电影放映村镇覆盖率受疫情影响覆盖率为99.93%；免费开放补助资金，完成补助5个单位的目标任务、补助标准达标率100%，目标完成；市级文物保护专项经费，完成文物保护数量6个，任务目标完成；美术馆改造和人民会堂附属建筑修缮工程项目按期完成；综合各专项受益对象满意度85%，完成年度目标任务。老城区申遗项目阶段性完成《青岛老城区申报世界文化遗产预备名录文本》编制工作；当年新增总督楼旧址文物修缮和消防工程完成对德国总督楼旧址博物馆文物和消防工程建设，保证建筑文物安全保护；市博物馆改扩建工程完成了开工奠基仪式，标志项目正式启动。</w:t>
      </w:r>
    </w:p>
    <w:p w:rsidR="007D6A9B" w:rsidRPr="00AE0794" w:rsidRDefault="007D6A9B" w:rsidP="007D6A9B">
      <w:pPr>
        <w:pStyle w:val="a2"/>
        <w:spacing w:line="560" w:lineRule="exact"/>
        <w:ind w:firstLine="640"/>
        <w:rPr>
          <w:rFonts w:ascii="仿宋_GB2312"/>
          <w:color w:val="FF0000"/>
          <w:sz w:val="32"/>
          <w:szCs w:val="32"/>
          <w:lang w:val="en-US"/>
        </w:rPr>
      </w:pPr>
      <w:r w:rsidRPr="00AE0794">
        <w:rPr>
          <w:rFonts w:ascii="仿宋_GB2312" w:hint="eastAsia"/>
          <w:color w:val="0D0D0D" w:themeColor="text1" w:themeTint="F2"/>
          <w:sz w:val="32"/>
          <w:szCs w:val="32"/>
          <w:lang w:val="en-US"/>
        </w:rPr>
        <w:t>文化事业发展资金绩效目标完成情况：</w:t>
      </w:r>
    </w:p>
    <w:p w:rsidR="000236D0" w:rsidRPr="00AE0794" w:rsidRDefault="007D6A9B" w:rsidP="000236D0">
      <w:pPr>
        <w:spacing w:line="580" w:lineRule="exact"/>
        <w:ind w:firstLineChars="200" w:firstLine="640"/>
        <w:rPr>
          <w:rFonts w:ascii="仿宋_GB2312" w:eastAsia="仿宋_GB2312" w:hAnsi="Times New Roman" w:cs="Times New Roman"/>
          <w:color w:val="0D0D0D" w:themeColor="text1" w:themeTint="F2"/>
          <w:kern w:val="0"/>
          <w:sz w:val="32"/>
          <w:szCs w:val="32"/>
        </w:rPr>
      </w:pPr>
      <w:r w:rsidRPr="00AE0794">
        <w:rPr>
          <w:rFonts w:ascii="仿宋_GB2312" w:eastAsia="仿宋_GB2312" w:hAnsi="Times New Roman" w:cs="Times New Roman" w:hint="eastAsia"/>
          <w:color w:val="0D0D0D" w:themeColor="text1" w:themeTint="F2"/>
          <w:kern w:val="0"/>
          <w:sz w:val="32"/>
          <w:szCs w:val="32"/>
        </w:rPr>
        <w:t>文旅产业发展资金(乡村振兴资金)，完成对22个乡村</w:t>
      </w:r>
      <w:r w:rsidRPr="00AE0794">
        <w:rPr>
          <w:rFonts w:ascii="仿宋_GB2312" w:eastAsia="仿宋_GB2312" w:hAnsi="Times New Roman" w:cs="Times New Roman" w:hint="eastAsia"/>
          <w:color w:val="0D0D0D" w:themeColor="text1" w:themeTint="F2"/>
          <w:kern w:val="0"/>
          <w:sz w:val="32"/>
          <w:szCs w:val="32"/>
        </w:rPr>
        <w:lastRenderedPageBreak/>
        <w:t>旅游特色村（社区）、21个乡村游特色业态、4个乡村旅游合作社的奖补；文旅产业发展资金，完成了对35家旅游信息咨询中心进行奖补；完成了文旅产业新业态和培育精品滨海度假项目共8个项目的奖补；完成对全市138个2018年新建改建旅游厕所的奖补；完成对5家星级饭店奖补；完成对2019年113航次得邮轮补助；完成对2019年符合奖励标准的14家入境游旅行社的奖励；完成对新增4A级旅游景区的奖补，各项奖补按时足额到位。国际国内文旅交流活动及节会品牌系列活动、文旅交流活动资金，组织力“国际友人@Qingdao”文旅国际交流活动和德国葡萄酒节两项对外交流活动；联合推介捆绑营销宣传，根据省旅游厅统一采购在中央电视台没填进行4次“好客山东”广告宣传；旅游公共服务系统运维、文旅统计资金对2个旅游公共服务系统进行运维，完成文旅统计调查问卷2.69万份，出具25份统计分析报告；文化和旅游安全应急专项资金及其他基础性工作资金，去年开展对14个子行业进行安全风险评估、对453家企业进行安全检查、16家旅行社服务质量进行暗访；文化旅游消费惠民季及旅游惠民月资金，文旅消费上架产品和服务1.07万项，开展宣传报告11次、签约商家322家、直接拉动文旅消费8457万元、活动参与155.2万人次；宣传促销经费，开展文旅综合营销活动17项、在新媒体进行文旅营销6次；音乐酒吧补助资金，对全市46家符合奖励条件的音乐酒吧进行奖励；影视产业补助资金，因疫情2020年上映影片数量受影响较大，对1部上映影片进行了补助；世界遗产旅游</w:t>
      </w:r>
      <w:r w:rsidRPr="00AE0794">
        <w:rPr>
          <w:rFonts w:ascii="仿宋_GB2312" w:eastAsia="仿宋_GB2312" w:hAnsi="Times New Roman" w:cs="Times New Roman" w:hint="eastAsia"/>
          <w:color w:val="0D0D0D" w:themeColor="text1" w:themeTint="F2"/>
          <w:kern w:val="0"/>
          <w:sz w:val="32"/>
          <w:szCs w:val="32"/>
        </w:rPr>
        <w:lastRenderedPageBreak/>
        <w:t>博览会因受疫情影响根据中央有关要求停止举办，资金退回市财政局。当年追加应对疫情支持文化和旅游业发展资金，对青岛迎宾馆、海产博物馆进行免门票进行补助，通过对文旅43家文旅企业新增贷款补助、47航次的夜间海上旅游补贴、3处婚拍驿站、1处房车露营地补贴、建设文旅公共服务平台、发放旅游惠民消费券等各类活动拉动青岛市旅游市场复苏。</w:t>
      </w:r>
    </w:p>
    <w:p w:rsidR="00A41C90" w:rsidRPr="00AE0794" w:rsidRDefault="00A41C90" w:rsidP="000236D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宋体" w:cs="宋体" w:hint="eastAsia"/>
          <w:sz w:val="32"/>
          <w:szCs w:val="32"/>
        </w:rPr>
        <w:t>②</w:t>
      </w:r>
      <w:r w:rsidRPr="00AE0794">
        <w:rPr>
          <w:rFonts w:ascii="仿宋_GB2312" w:eastAsia="仿宋_GB2312" w:hAnsi="Times New Roman" w:cs="Times New Roman" w:hint="eastAsia"/>
          <w:sz w:val="32"/>
          <w:szCs w:val="32"/>
        </w:rPr>
        <w:t>财政投资建设项目实际完成率：人民大会堂附属建筑修缮工程、青岛市美术馆修缮保护与改造提升工程均已完成</w:t>
      </w:r>
      <w:r w:rsidR="000236D0" w:rsidRPr="00AE0794">
        <w:rPr>
          <w:rFonts w:ascii="仿宋_GB2312" w:eastAsia="仿宋_GB2312" w:hAnsi="Times New Roman" w:cs="Times New Roman" w:hint="eastAsia"/>
          <w:sz w:val="32"/>
          <w:szCs w:val="32"/>
        </w:rPr>
        <w:t>、青岛市博物馆改扩建项目举行奠基仪式</w:t>
      </w:r>
      <w:r w:rsidRPr="00AE0794">
        <w:rPr>
          <w:rFonts w:ascii="仿宋_GB2312" w:eastAsia="仿宋_GB2312" w:hAnsi="Times New Roman" w:cs="Times New Roman" w:hint="eastAsia"/>
          <w:sz w:val="32"/>
          <w:szCs w:val="32"/>
        </w:rPr>
        <w:t>。</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③部门专项项目完成率：部门专项包括文化事业发展资金、</w:t>
      </w:r>
      <w:r w:rsidR="000236D0" w:rsidRPr="00AE0794">
        <w:rPr>
          <w:rFonts w:ascii="仿宋_GB2312" w:eastAsia="仿宋_GB2312" w:hAnsi="Times New Roman" w:cs="Times New Roman" w:hint="eastAsia"/>
          <w:sz w:val="32"/>
          <w:szCs w:val="32"/>
        </w:rPr>
        <w:t>文化旅游产业发展资金2</w:t>
      </w:r>
      <w:r w:rsidRPr="00AE0794">
        <w:rPr>
          <w:rFonts w:ascii="仿宋_GB2312" w:eastAsia="仿宋_GB2312" w:hAnsi="Times New Roman" w:cs="Times New Roman" w:hint="eastAsia"/>
          <w:sz w:val="32"/>
          <w:szCs w:val="32"/>
        </w:rPr>
        <w:t>个</w:t>
      </w:r>
      <w:r w:rsidR="000236D0" w:rsidRPr="00AE0794">
        <w:rPr>
          <w:rFonts w:ascii="仿宋_GB2312" w:eastAsia="仿宋_GB2312" w:hAnsi="Times New Roman" w:cs="Times New Roman" w:hint="eastAsia"/>
          <w:sz w:val="32"/>
          <w:szCs w:val="32"/>
        </w:rPr>
        <w:t>二</w:t>
      </w:r>
      <w:r w:rsidRPr="00AE0794">
        <w:rPr>
          <w:rFonts w:ascii="仿宋_GB2312" w:eastAsia="仿宋_GB2312" w:hAnsi="Times New Roman" w:cs="Times New Roman" w:hint="eastAsia"/>
          <w:sz w:val="32"/>
          <w:szCs w:val="32"/>
        </w:rPr>
        <w:t>级专项资金。其中，文化事业发展资金实际完成率</w:t>
      </w:r>
      <w:r w:rsidR="000236D0" w:rsidRPr="00AE0794">
        <w:rPr>
          <w:rFonts w:ascii="仿宋_GB2312" w:eastAsia="仿宋_GB2312" w:hAnsi="Times New Roman" w:cs="Times New Roman" w:hint="eastAsia"/>
          <w:sz w:val="32"/>
          <w:szCs w:val="32"/>
        </w:rPr>
        <w:t>93.98</w:t>
      </w:r>
      <w:r w:rsidRPr="00AE0794">
        <w:rPr>
          <w:rFonts w:ascii="仿宋_GB2312" w:eastAsia="仿宋_GB2312" w:hAnsi="Times New Roman" w:cs="Times New Roman" w:hint="eastAsia"/>
          <w:sz w:val="32"/>
          <w:szCs w:val="32"/>
        </w:rPr>
        <w:t>%，</w:t>
      </w:r>
      <w:r w:rsidR="000236D0" w:rsidRPr="00AE0794">
        <w:rPr>
          <w:rFonts w:ascii="仿宋_GB2312" w:eastAsia="仿宋_GB2312" w:hAnsi="Times New Roman" w:cs="Times New Roman" w:hint="eastAsia"/>
          <w:sz w:val="32"/>
          <w:szCs w:val="32"/>
        </w:rPr>
        <w:t>文化旅游产业发展资金</w:t>
      </w:r>
      <w:r w:rsidRPr="00AE0794">
        <w:rPr>
          <w:rFonts w:ascii="仿宋_GB2312" w:eastAsia="仿宋_GB2312" w:hAnsi="Times New Roman" w:cs="Times New Roman" w:hint="eastAsia"/>
          <w:sz w:val="32"/>
          <w:szCs w:val="32"/>
        </w:rPr>
        <w:t>实际完成率</w:t>
      </w:r>
      <w:r w:rsidR="000236D0" w:rsidRPr="00AE0794">
        <w:rPr>
          <w:rFonts w:ascii="仿宋_GB2312" w:eastAsia="仿宋_GB2312" w:hAnsi="Times New Roman" w:cs="Times New Roman" w:hint="eastAsia"/>
          <w:sz w:val="32"/>
          <w:szCs w:val="32"/>
        </w:rPr>
        <w:t>92.42</w:t>
      </w:r>
      <w:r w:rsidRPr="00AE0794">
        <w:rPr>
          <w:rFonts w:ascii="仿宋_GB2312" w:eastAsia="仿宋_GB2312" w:hAnsi="Times New Roman" w:cs="Times New Roman" w:hint="eastAsia"/>
          <w:sz w:val="32"/>
          <w:szCs w:val="32"/>
        </w:rPr>
        <w:t>%，扣减0.</w:t>
      </w:r>
      <w:r w:rsidR="000236D0" w:rsidRPr="00AE0794">
        <w:rPr>
          <w:rFonts w:ascii="仿宋_GB2312" w:eastAsia="仿宋_GB2312" w:hAnsi="Times New Roman" w:cs="Times New Roman" w:hint="eastAsia"/>
          <w:sz w:val="32"/>
          <w:szCs w:val="32"/>
        </w:rPr>
        <w:t>6</w:t>
      </w:r>
      <w:r w:rsidRPr="00AE0794">
        <w:rPr>
          <w:rFonts w:ascii="仿宋_GB2312" w:eastAsia="仿宋_GB2312" w:hAnsi="Times New Roman" w:cs="Times New Roman" w:hint="eastAsia"/>
          <w:sz w:val="32"/>
          <w:szCs w:val="32"/>
        </w:rPr>
        <w:t>分。各专项资金具体项目完成情况见下表。</w:t>
      </w:r>
    </w:p>
    <w:p w:rsidR="00A41C90" w:rsidRDefault="00A41C90" w:rsidP="00A41C90">
      <w:pPr>
        <w:snapToGrid w:val="0"/>
        <w:jc w:val="center"/>
        <w:rPr>
          <w:rFonts w:ascii="Times New Roman" w:hAnsi="Times New Roman" w:cs="Times New Roman"/>
        </w:rPr>
      </w:pPr>
      <w:r>
        <w:rPr>
          <w:rFonts w:ascii="Times New Roman" w:eastAsia="黑体" w:hAnsi="Times New Roman" w:cs="Times New Roman"/>
          <w:sz w:val="22"/>
          <w:szCs w:val="22"/>
        </w:rPr>
        <w:t>表</w:t>
      </w:r>
      <w:r>
        <w:rPr>
          <w:rFonts w:ascii="Times New Roman" w:eastAsia="黑体" w:hAnsi="Times New Roman" w:cs="Times New Roman"/>
          <w:sz w:val="22"/>
          <w:szCs w:val="22"/>
        </w:rPr>
        <w:t xml:space="preserve">3.6  </w:t>
      </w:r>
      <w:r>
        <w:rPr>
          <w:rFonts w:ascii="Times New Roman" w:eastAsia="黑体" w:hAnsi="Times New Roman" w:cs="Times New Roman"/>
          <w:sz w:val="22"/>
          <w:szCs w:val="22"/>
        </w:rPr>
        <w:t>部门专项项目实际完成率情况汇总表</w:t>
      </w:r>
    </w:p>
    <w:tbl>
      <w:tblPr>
        <w:tblW w:w="4998" w:type="pct"/>
        <w:tblCellMar>
          <w:left w:w="0" w:type="dxa"/>
          <w:right w:w="0" w:type="dxa"/>
        </w:tblCellMar>
        <w:tblLook w:val="04A0"/>
      </w:tblPr>
      <w:tblGrid>
        <w:gridCol w:w="1834"/>
        <w:gridCol w:w="3497"/>
        <w:gridCol w:w="1770"/>
        <w:gridCol w:w="1226"/>
      </w:tblGrid>
      <w:tr w:rsidR="00A41C90" w:rsidTr="00D02371">
        <w:trPr>
          <w:trHeight w:val="129"/>
          <w:tblHeader/>
        </w:trPr>
        <w:tc>
          <w:tcPr>
            <w:tcW w:w="110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sz w:val="22"/>
                <w:szCs w:val="22"/>
              </w:rPr>
              <w:t>一级专项资金</w:t>
            </w:r>
          </w:p>
        </w:tc>
        <w:tc>
          <w:tcPr>
            <w:tcW w:w="2100"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rPr>
              <w:t>细化项目名称</w:t>
            </w:r>
          </w:p>
        </w:tc>
        <w:tc>
          <w:tcPr>
            <w:tcW w:w="1063"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rPr>
              <w:t>年初预算（万元）</w:t>
            </w:r>
          </w:p>
        </w:tc>
        <w:tc>
          <w:tcPr>
            <w:tcW w:w="736"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kern w:val="0"/>
                <w:sz w:val="22"/>
                <w:szCs w:val="22"/>
              </w:rPr>
            </w:pPr>
            <w:r>
              <w:rPr>
                <w:rFonts w:ascii="Times New Roman" w:eastAsia="黑体" w:hAnsi="Times New Roman" w:cs="Times New Roman"/>
                <w:color w:val="000000"/>
                <w:kern w:val="0"/>
                <w:sz w:val="22"/>
                <w:szCs w:val="22"/>
              </w:rPr>
              <w:t>实际完成率</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widowControl/>
              <w:spacing w:line="360" w:lineRule="auto"/>
              <w:jc w:val="center"/>
              <w:textAlignment w:val="center"/>
              <w:rPr>
                <w:rFonts w:ascii="仿宋_GB2312" w:eastAsia="仿宋_GB2312" w:hAnsi="Times New Roman" w:cs="Times New Roman"/>
                <w:color w:val="000000"/>
                <w:sz w:val="18"/>
                <w:szCs w:val="18"/>
              </w:rPr>
            </w:pPr>
            <w:r w:rsidRPr="00D02371">
              <w:rPr>
                <w:rFonts w:ascii="仿宋_GB2312" w:eastAsia="仿宋_GB2312" w:hAnsi="Times New Roman" w:cs="Times New Roman" w:hint="eastAsia"/>
                <w:color w:val="000000"/>
                <w:kern w:val="0"/>
                <w:sz w:val="18"/>
                <w:szCs w:val="18"/>
              </w:rPr>
              <w:t>文化事业发展资金</w:t>
            </w: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BE720D">
              <w:rPr>
                <w:rFonts w:ascii="仿宋_GB2312" w:eastAsia="仿宋_GB2312" w:cs="Arial" w:hint="eastAsia"/>
                <w:color w:val="000000"/>
                <w:sz w:val="18"/>
                <w:szCs w:val="18"/>
              </w:rPr>
              <w:t>文化事业发展资金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7,509.50</w:t>
            </w:r>
          </w:p>
        </w:tc>
        <w:tc>
          <w:tcPr>
            <w:tcW w:w="736"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93.98%</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“扫黄打非”举报奖励</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0.00%</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非遗项目和传承人补助资金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48.00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100.00%</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购书及古籍保护资金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800.00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99.86%</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交响乐团优秀剧目创作补助资金（含聘任演奏员）</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1,290.00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68.95%</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乐器购置及维护经费</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5.00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92.20%</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美术馆改造</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200.00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100.00%</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免费开放补助资金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370.00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99.98%</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农村文化建设补助资金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250.00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96.94%</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青岛“文化惠民”演出补助</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800.00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100.00%</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青岛老城区申遗</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400.00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99.91%</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人民会堂附属建筑修缮</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168.00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81.66%</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市级文物保护专项经费</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480.00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99.82%</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文化事业发展资金（补助区市）(乡村振兴资金)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72.00</w:t>
            </w:r>
          </w:p>
        </w:tc>
        <w:tc>
          <w:tcPr>
            <w:tcW w:w="736"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100.00%</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widowControl/>
              <w:spacing w:line="360" w:lineRule="auto"/>
              <w:jc w:val="center"/>
              <w:textAlignment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bottom"/>
          </w:tcPr>
          <w:p w:rsidR="00D02371" w:rsidRPr="00BE720D" w:rsidRDefault="00D02371">
            <w:pPr>
              <w:rPr>
                <w:rFonts w:ascii="仿宋_GB2312" w:eastAsia="仿宋_GB2312" w:cs="Arial"/>
                <w:color w:val="000000"/>
                <w:sz w:val="18"/>
                <w:szCs w:val="18"/>
              </w:rPr>
            </w:pPr>
            <w:r w:rsidRPr="00BE720D">
              <w:rPr>
                <w:rFonts w:ascii="仿宋_GB2312" w:eastAsia="仿宋_GB2312" w:cs="Arial" w:hint="eastAsia"/>
                <w:color w:val="000000"/>
                <w:sz w:val="18"/>
                <w:szCs w:val="18"/>
              </w:rPr>
              <w:t>博物馆改扩建</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2,000.00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100.00%</w:t>
            </w:r>
          </w:p>
        </w:tc>
      </w:tr>
      <w:tr w:rsid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A41C90">
            <w:pPr>
              <w:spacing w:line="360" w:lineRule="auto"/>
              <w:jc w:val="center"/>
              <w:rPr>
                <w:rFonts w:ascii="仿宋_GB2312" w:eastAsia="仿宋_GB2312" w:hAnsi="Times New Roman" w:cs="Times New Roman"/>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bottom"/>
          </w:tcPr>
          <w:p w:rsidR="00D02371" w:rsidRPr="00BE720D" w:rsidRDefault="00D02371">
            <w:pPr>
              <w:rPr>
                <w:rFonts w:ascii="仿宋_GB2312" w:eastAsia="仿宋_GB2312" w:cs="Arial"/>
                <w:color w:val="000000"/>
                <w:sz w:val="18"/>
                <w:szCs w:val="18"/>
              </w:rPr>
            </w:pPr>
            <w:r w:rsidRPr="00BE720D">
              <w:rPr>
                <w:rFonts w:ascii="仿宋_GB2312" w:eastAsia="仿宋_GB2312" w:cs="Arial" w:hint="eastAsia"/>
                <w:color w:val="000000"/>
                <w:sz w:val="18"/>
                <w:szCs w:val="18"/>
              </w:rPr>
              <w:t>文物修缮和消防工程</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616.50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BE720D" w:rsidRDefault="00D02371">
            <w:pPr>
              <w:jc w:val="right"/>
              <w:rPr>
                <w:rFonts w:ascii="仿宋_GB2312" w:eastAsia="仿宋_GB2312" w:cs="Arial"/>
                <w:color w:val="000000"/>
                <w:sz w:val="18"/>
                <w:szCs w:val="18"/>
              </w:rPr>
            </w:pPr>
            <w:r w:rsidRPr="00BE720D">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文化旅游产业发展资金</w:t>
            </w: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文化旅游产业发展资金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13,365.80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92.42%</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国际国内文旅交流活动及节会品牌系列活动</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49.44</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51.09%</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联合推介捆绑营销宣传</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607.56</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旅游公共服务系统运维、文旅统计</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301.00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99.04%</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旅游信息咨询中心</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培育骨干旅游企业</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世界遗产旅游博览会</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500.00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文化和旅游安全应急专项资金及其他基础性工作</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250.00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95.75%</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文化旅游消费惠民季及旅游惠民月</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2,500.00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98.91%</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文旅交流活动</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50.00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49.32%</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宣传促销经费</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1,620.00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音乐酒吧补助资金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800.00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72.00%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影视产业补助资金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510.00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62.08%</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文旅产业发展资金(乡村振兴资金)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730.00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文旅产业发展资金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1,988.90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bottom"/>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好客山东央视宣传</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500.00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100.00%</w:t>
            </w:r>
          </w:p>
        </w:tc>
      </w:tr>
      <w:tr w:rsidR="00D02371" w:rsidRPr="00D02371" w:rsidTr="00D02371">
        <w:trPr>
          <w:trHeight w:val="340"/>
        </w:trPr>
        <w:tc>
          <w:tcPr>
            <w:tcW w:w="110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D02371">
            <w:pPr>
              <w:rPr>
                <w:rFonts w:ascii="仿宋_GB2312" w:eastAsia="仿宋_GB2312" w:cs="Arial"/>
                <w:color w:val="000000"/>
                <w:sz w:val="18"/>
                <w:szCs w:val="18"/>
              </w:rPr>
            </w:pPr>
          </w:p>
        </w:tc>
        <w:tc>
          <w:tcPr>
            <w:tcW w:w="210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bottom"/>
          </w:tcPr>
          <w:p w:rsidR="00D02371" w:rsidRPr="00D02371" w:rsidRDefault="00D02371" w:rsidP="00D02371">
            <w:pPr>
              <w:rPr>
                <w:rFonts w:ascii="仿宋_GB2312" w:eastAsia="仿宋_GB2312" w:cs="Arial"/>
                <w:color w:val="000000"/>
                <w:sz w:val="18"/>
                <w:szCs w:val="18"/>
              </w:rPr>
            </w:pPr>
            <w:r w:rsidRPr="00D02371">
              <w:rPr>
                <w:rFonts w:ascii="仿宋_GB2312" w:eastAsia="仿宋_GB2312" w:cs="Arial" w:hint="eastAsia"/>
                <w:color w:val="000000"/>
                <w:sz w:val="18"/>
                <w:szCs w:val="18"/>
              </w:rPr>
              <w:t>应对疫情资金</w:t>
            </w:r>
          </w:p>
        </w:tc>
        <w:tc>
          <w:tcPr>
            <w:tcW w:w="1063"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2,758.90</w:t>
            </w:r>
          </w:p>
        </w:tc>
        <w:tc>
          <w:tcPr>
            <w:tcW w:w="7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D02371" w:rsidRPr="00D02371" w:rsidRDefault="00D02371" w:rsidP="00BE720D">
            <w:pPr>
              <w:jc w:val="right"/>
              <w:rPr>
                <w:rFonts w:ascii="仿宋_GB2312" w:eastAsia="仿宋_GB2312" w:cs="Arial"/>
                <w:color w:val="000000"/>
                <w:sz w:val="18"/>
                <w:szCs w:val="18"/>
              </w:rPr>
            </w:pPr>
            <w:r w:rsidRPr="00D02371">
              <w:rPr>
                <w:rFonts w:ascii="仿宋_GB2312" w:eastAsia="仿宋_GB2312" w:cs="Arial" w:hint="eastAsia"/>
                <w:color w:val="000000"/>
                <w:sz w:val="18"/>
                <w:szCs w:val="18"/>
              </w:rPr>
              <w:t>99.81%</w:t>
            </w:r>
          </w:p>
        </w:tc>
      </w:tr>
    </w:tbl>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（2）完成及时率：指标满分7分，评价得分</w:t>
      </w:r>
      <w:r w:rsidR="00D02371" w:rsidRPr="00AE0794">
        <w:rPr>
          <w:rFonts w:ascii="仿宋_GB2312" w:eastAsia="仿宋_GB2312" w:hAnsi="Times New Roman" w:cs="Times New Roman" w:hint="eastAsia"/>
          <w:sz w:val="32"/>
          <w:szCs w:val="32"/>
        </w:rPr>
        <w:t>6.4</w:t>
      </w:r>
      <w:r w:rsidRPr="00AE0794">
        <w:rPr>
          <w:rFonts w:ascii="仿宋_GB2312" w:eastAsia="仿宋_GB2312" w:hAnsi="Times New Roman" w:cs="Times New Roman" w:hint="eastAsia"/>
          <w:sz w:val="32"/>
          <w:szCs w:val="32"/>
        </w:rPr>
        <w:t>分，得分率为</w:t>
      </w:r>
      <w:r w:rsidR="00D02371"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%。截至2</w:t>
      </w:r>
      <w:r w:rsidR="00D02371" w:rsidRPr="00AE0794">
        <w:rPr>
          <w:rFonts w:ascii="仿宋_GB2312" w:eastAsia="仿宋_GB2312" w:hAnsi="Times New Roman" w:cs="Times New Roman" w:hint="eastAsia"/>
          <w:sz w:val="32"/>
          <w:szCs w:val="32"/>
        </w:rPr>
        <w:t>020</w:t>
      </w:r>
      <w:r w:rsidRPr="00AE0794">
        <w:rPr>
          <w:rFonts w:ascii="仿宋_GB2312" w:eastAsia="仿宋_GB2312" w:hAnsi="Times New Roman" w:cs="Times New Roman" w:hint="eastAsia"/>
          <w:sz w:val="32"/>
          <w:szCs w:val="32"/>
        </w:rPr>
        <w:t>年12月31日，</w:t>
      </w:r>
      <w:r w:rsidR="00D02371" w:rsidRPr="00AE0794">
        <w:rPr>
          <w:rFonts w:ascii="仿宋_GB2312" w:eastAsia="仿宋_GB2312" w:hAnsi="Times New Roman" w:cs="Times New Roman" w:hint="eastAsia"/>
          <w:sz w:val="32"/>
          <w:szCs w:val="32"/>
        </w:rPr>
        <w:t>各项</w:t>
      </w:r>
      <w:r w:rsidRPr="00AE0794">
        <w:rPr>
          <w:rFonts w:ascii="仿宋_GB2312" w:eastAsia="仿宋_GB2312" w:hAnsi="Times New Roman" w:cs="Times New Roman" w:hint="eastAsia"/>
          <w:sz w:val="32"/>
          <w:szCs w:val="32"/>
        </w:rPr>
        <w:t>攻势攻坚任务均及时完成；部门专项项目中，文化事业发展资金完成及时率</w:t>
      </w:r>
      <w:r w:rsidR="00D02371" w:rsidRPr="00AE0794">
        <w:rPr>
          <w:rFonts w:ascii="仿宋_GB2312" w:eastAsia="仿宋_GB2312" w:hAnsi="Times New Roman" w:cs="Times New Roman" w:hint="eastAsia"/>
          <w:sz w:val="32"/>
          <w:szCs w:val="32"/>
        </w:rPr>
        <w:t>93.98</w:t>
      </w:r>
      <w:r w:rsidRPr="00AE0794">
        <w:rPr>
          <w:rFonts w:ascii="仿宋_GB2312" w:eastAsia="仿宋_GB2312" w:hAnsi="Times New Roman" w:cs="Times New Roman" w:hint="eastAsia"/>
          <w:sz w:val="32"/>
          <w:szCs w:val="32"/>
        </w:rPr>
        <w:t>%，文化</w:t>
      </w:r>
      <w:r w:rsidR="00D02371" w:rsidRPr="00AE0794">
        <w:rPr>
          <w:rFonts w:ascii="仿宋_GB2312" w:eastAsia="仿宋_GB2312" w:hAnsi="Times New Roman" w:cs="Times New Roman" w:hint="eastAsia"/>
          <w:sz w:val="32"/>
          <w:szCs w:val="32"/>
        </w:rPr>
        <w:t>旅游</w:t>
      </w:r>
      <w:r w:rsidRPr="00AE0794">
        <w:rPr>
          <w:rFonts w:ascii="仿宋_GB2312" w:eastAsia="仿宋_GB2312" w:hAnsi="Times New Roman" w:cs="Times New Roman" w:hint="eastAsia"/>
          <w:sz w:val="32"/>
          <w:szCs w:val="32"/>
        </w:rPr>
        <w:t>产业发展资金完成及时率</w:t>
      </w:r>
      <w:r w:rsidR="00D02371" w:rsidRPr="00AE0794">
        <w:rPr>
          <w:rFonts w:ascii="仿宋_GB2312" w:eastAsia="仿宋_GB2312" w:hAnsi="Times New Roman" w:cs="Times New Roman" w:hint="eastAsia"/>
          <w:sz w:val="32"/>
          <w:szCs w:val="32"/>
        </w:rPr>
        <w:t>92.42</w:t>
      </w:r>
      <w:r w:rsidRPr="00AE0794">
        <w:rPr>
          <w:rFonts w:ascii="仿宋_GB2312" w:eastAsia="仿宋_GB2312" w:hAnsi="Times New Roman" w:cs="Times New Roman" w:hint="eastAsia"/>
          <w:sz w:val="32"/>
          <w:szCs w:val="32"/>
        </w:rPr>
        <w:t>%</w:t>
      </w:r>
      <w:r w:rsidR="00D02371" w:rsidRPr="00AE0794">
        <w:rPr>
          <w:rFonts w:ascii="仿宋_GB2312" w:eastAsia="仿宋_GB2312" w:hAnsi="Times New Roman" w:cs="Times New Roman" w:hint="eastAsia"/>
          <w:sz w:val="32"/>
          <w:szCs w:val="32"/>
        </w:rPr>
        <w:t>，</w:t>
      </w:r>
      <w:r w:rsidRPr="00AE0794">
        <w:rPr>
          <w:rFonts w:ascii="仿宋_GB2312" w:eastAsia="仿宋_GB2312" w:hAnsi="Times New Roman" w:cs="Times New Roman" w:hint="eastAsia"/>
          <w:sz w:val="32"/>
          <w:szCs w:val="32"/>
        </w:rPr>
        <w:t>政府投资建设项目完成及时率</w:t>
      </w:r>
      <w:r w:rsidR="00D02371" w:rsidRPr="00AE0794">
        <w:rPr>
          <w:rFonts w:ascii="仿宋_GB2312" w:eastAsia="仿宋_GB2312" w:hAnsi="Times New Roman" w:cs="Times New Roman" w:hint="eastAsia"/>
          <w:sz w:val="32"/>
          <w:szCs w:val="32"/>
        </w:rPr>
        <w:t>10</w:t>
      </w:r>
      <w:r w:rsidRPr="00AE0794">
        <w:rPr>
          <w:rFonts w:ascii="仿宋_GB2312" w:eastAsia="仿宋_GB2312" w:hAnsi="Times New Roman" w:cs="Times New Roman" w:hint="eastAsia"/>
          <w:sz w:val="32"/>
          <w:szCs w:val="32"/>
        </w:rPr>
        <w:t>0%。</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（3）质量达标率：指标满分7分，评价得分</w:t>
      </w:r>
      <w:r w:rsidR="00BE720D" w:rsidRPr="00AE0794">
        <w:rPr>
          <w:rFonts w:ascii="仿宋_GB2312" w:eastAsia="仿宋_GB2312" w:hAnsi="Times New Roman" w:cs="Times New Roman" w:hint="eastAsia"/>
          <w:sz w:val="32"/>
          <w:szCs w:val="32"/>
        </w:rPr>
        <w:t>7</w:t>
      </w:r>
      <w:r w:rsidRPr="00AE0794">
        <w:rPr>
          <w:rFonts w:ascii="仿宋_GB2312" w:eastAsia="仿宋_GB2312" w:hAnsi="Times New Roman" w:cs="Times New Roman" w:hint="eastAsia"/>
          <w:sz w:val="32"/>
          <w:szCs w:val="32"/>
        </w:rPr>
        <w:t>分，得分率为</w:t>
      </w:r>
      <w:r w:rsidR="00BE720D"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%。截至2019年12月31日，23项十五大攻势攻坚任务均按照既定要求、标准完成；政府投资建设项目达标率100%，均已通过竣工验收；部门专项项目中，文化事业发</w:t>
      </w:r>
      <w:r w:rsidRPr="00AE0794">
        <w:rPr>
          <w:rFonts w:ascii="仿宋_GB2312" w:eastAsia="仿宋_GB2312" w:hAnsi="Times New Roman" w:cs="Times New Roman" w:hint="eastAsia"/>
          <w:sz w:val="32"/>
          <w:szCs w:val="32"/>
        </w:rPr>
        <w:lastRenderedPageBreak/>
        <w:t>展资金质量达标率</w:t>
      </w:r>
      <w:r w:rsidR="00BE720D"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%，文化</w:t>
      </w:r>
      <w:r w:rsidR="00BE720D" w:rsidRPr="00AE0794">
        <w:rPr>
          <w:rFonts w:ascii="仿宋_GB2312" w:eastAsia="仿宋_GB2312" w:hAnsi="Times New Roman" w:cs="Times New Roman" w:hint="eastAsia"/>
          <w:sz w:val="32"/>
          <w:szCs w:val="32"/>
        </w:rPr>
        <w:t>旅游</w:t>
      </w:r>
      <w:r w:rsidRPr="00AE0794">
        <w:rPr>
          <w:rFonts w:ascii="仿宋_GB2312" w:eastAsia="仿宋_GB2312" w:hAnsi="Times New Roman" w:cs="Times New Roman" w:hint="eastAsia"/>
          <w:sz w:val="32"/>
          <w:szCs w:val="32"/>
        </w:rPr>
        <w:t>产业发展资金质量达标率100%。</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（4）重点工作办结率：指标满分9分，评价得分</w:t>
      </w:r>
      <w:r w:rsidR="00BE720D" w:rsidRPr="00AE0794">
        <w:rPr>
          <w:rFonts w:ascii="仿宋_GB2312" w:eastAsia="仿宋_GB2312" w:hAnsi="Times New Roman" w:cs="Times New Roman" w:hint="eastAsia"/>
          <w:sz w:val="32"/>
          <w:szCs w:val="32"/>
        </w:rPr>
        <w:t>9</w:t>
      </w:r>
      <w:r w:rsidRPr="00AE0794">
        <w:rPr>
          <w:rFonts w:ascii="仿宋_GB2312" w:eastAsia="仿宋_GB2312" w:hAnsi="Times New Roman" w:cs="Times New Roman" w:hint="eastAsia"/>
          <w:sz w:val="32"/>
          <w:szCs w:val="32"/>
        </w:rPr>
        <w:t>分，得分率为</w:t>
      </w:r>
      <w:r w:rsidR="00BE720D"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%。根据青岛市综合考核委员确定的《青岛市文化和旅游局20</w:t>
      </w:r>
      <w:r w:rsidR="00BE720D"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年度市直单位业务目标》，包含重点目标7项，创优目标</w:t>
      </w:r>
      <w:r w:rsidR="00BE720D" w:rsidRPr="00AE0794">
        <w:rPr>
          <w:rFonts w:ascii="仿宋_GB2312" w:eastAsia="仿宋_GB2312" w:hAnsi="Times New Roman" w:cs="Times New Roman" w:hint="eastAsia"/>
          <w:sz w:val="32"/>
          <w:szCs w:val="32"/>
        </w:rPr>
        <w:t>1</w:t>
      </w:r>
      <w:r w:rsidRPr="00AE0794">
        <w:rPr>
          <w:rFonts w:ascii="仿宋_GB2312" w:eastAsia="仿宋_GB2312" w:hAnsi="Times New Roman" w:cs="Times New Roman" w:hint="eastAsia"/>
          <w:sz w:val="32"/>
          <w:szCs w:val="32"/>
        </w:rPr>
        <w:t>项，重点工作实际完成数为</w:t>
      </w:r>
      <w:r w:rsidR="00BE720D" w:rsidRPr="00AE0794">
        <w:rPr>
          <w:rFonts w:ascii="仿宋_GB2312" w:eastAsia="仿宋_GB2312" w:hAnsi="Times New Roman" w:cs="Times New Roman" w:hint="eastAsia"/>
          <w:sz w:val="32"/>
          <w:szCs w:val="32"/>
        </w:rPr>
        <w:t>7</w:t>
      </w:r>
      <w:r w:rsidRPr="00AE0794">
        <w:rPr>
          <w:rFonts w:ascii="仿宋_GB2312" w:eastAsia="仿宋_GB2312" w:hAnsi="Times New Roman" w:cs="Times New Roman" w:hint="eastAsia"/>
          <w:sz w:val="32"/>
          <w:szCs w:val="32"/>
        </w:rPr>
        <w:t>项，重点工作办结率为</w:t>
      </w:r>
      <w:r w:rsidR="00BE720D"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%。部门重点工作具体目标完成情况见下表。</w:t>
      </w:r>
    </w:p>
    <w:p w:rsidR="00A41C90" w:rsidRDefault="00A41C90" w:rsidP="00A41C90">
      <w:pPr>
        <w:snapToGrid w:val="0"/>
        <w:jc w:val="center"/>
        <w:rPr>
          <w:rFonts w:ascii="Times New Roman" w:eastAsia="仿宋_GB2312" w:hAnsi="Times New Roman" w:cs="Times New Roman"/>
          <w:sz w:val="30"/>
          <w:szCs w:val="24"/>
        </w:rPr>
      </w:pPr>
      <w:r>
        <w:rPr>
          <w:rFonts w:ascii="Times New Roman" w:eastAsia="黑体" w:hAnsi="Times New Roman" w:cs="Times New Roman"/>
          <w:sz w:val="22"/>
          <w:szCs w:val="22"/>
        </w:rPr>
        <w:t>表</w:t>
      </w:r>
      <w:r>
        <w:rPr>
          <w:rFonts w:ascii="Times New Roman" w:eastAsia="黑体" w:hAnsi="Times New Roman" w:cs="Times New Roman"/>
          <w:sz w:val="22"/>
          <w:szCs w:val="22"/>
        </w:rPr>
        <w:t xml:space="preserve">3.7  </w:t>
      </w:r>
      <w:r>
        <w:rPr>
          <w:rFonts w:ascii="Times New Roman" w:eastAsia="黑体" w:hAnsi="Times New Roman" w:cs="Times New Roman"/>
          <w:sz w:val="22"/>
          <w:szCs w:val="22"/>
        </w:rPr>
        <w:t>部门重点工作实际完成情况汇总表</w:t>
      </w:r>
    </w:p>
    <w:tbl>
      <w:tblPr>
        <w:tblW w:w="4602" w:type="pct"/>
        <w:tblLayout w:type="fixed"/>
        <w:tblCellMar>
          <w:left w:w="0" w:type="dxa"/>
          <w:right w:w="0" w:type="dxa"/>
        </w:tblCellMar>
        <w:tblLook w:val="04A0"/>
      </w:tblPr>
      <w:tblGrid>
        <w:gridCol w:w="721"/>
        <w:gridCol w:w="567"/>
        <w:gridCol w:w="4111"/>
        <w:gridCol w:w="1702"/>
        <w:gridCol w:w="566"/>
      </w:tblGrid>
      <w:tr w:rsidR="00EF5C27" w:rsidTr="00EF5C27">
        <w:trPr>
          <w:trHeight w:val="312"/>
          <w:tblHeader/>
        </w:trPr>
        <w:tc>
          <w:tcPr>
            <w:tcW w:w="470"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rPr>
              <w:t>类别</w:t>
            </w:r>
          </w:p>
        </w:tc>
        <w:tc>
          <w:tcPr>
            <w:tcW w:w="370"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rPr>
              <w:t>序号</w:t>
            </w:r>
          </w:p>
        </w:tc>
        <w:tc>
          <w:tcPr>
            <w:tcW w:w="268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rPr>
              <w:t>目标名称</w:t>
            </w:r>
          </w:p>
        </w:tc>
        <w:tc>
          <w:tcPr>
            <w:tcW w:w="1110"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rPr>
              <w:t>完成情况</w:t>
            </w:r>
          </w:p>
        </w:tc>
        <w:tc>
          <w:tcPr>
            <w:tcW w:w="369"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rPr>
              <w:t>备注</w:t>
            </w:r>
          </w:p>
        </w:tc>
      </w:tr>
      <w:tr w:rsidR="00EF5C27" w:rsidTr="00EF5C27">
        <w:trPr>
          <w:trHeight w:val="864"/>
        </w:trPr>
        <w:tc>
          <w:tcPr>
            <w:tcW w:w="470" w:type="pct"/>
            <w:vMerge w:val="restar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textDirection w:val="tbLrV"/>
            <w:vAlign w:val="center"/>
          </w:tcPr>
          <w:p w:rsidR="00A41C90" w:rsidRDefault="00A41C90" w:rsidP="00A41C90">
            <w:pPr>
              <w:widowControl/>
              <w:spacing w:line="360" w:lineRule="auto"/>
              <w:ind w:left="113" w:right="113"/>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重点目标</w:t>
            </w: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1</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BE720D" w:rsidP="00BE720D">
            <w:pPr>
              <w:widowControl/>
              <w:textAlignment w:val="center"/>
              <w:rPr>
                <w:rFonts w:ascii="Times New Roman" w:eastAsia="仿宋_GB2312" w:hAnsi="Times New Roman" w:cs="Times New Roman"/>
                <w:color w:val="000000"/>
                <w:kern w:val="0"/>
                <w:sz w:val="22"/>
                <w:szCs w:val="22"/>
              </w:rPr>
            </w:pPr>
            <w:r w:rsidRPr="00BE720D">
              <w:rPr>
                <w:rFonts w:ascii="Times New Roman" w:eastAsia="仿宋_GB2312" w:hAnsi="Times New Roman" w:cs="Times New Roman" w:hint="eastAsia"/>
                <w:color w:val="000000"/>
                <w:kern w:val="0"/>
                <w:sz w:val="22"/>
                <w:szCs w:val="22"/>
              </w:rPr>
              <w:t>积极应对新冠肺炎疫情影响，推动文化旅游业蓄势振兴转型发展</w:t>
            </w:r>
          </w:p>
        </w:tc>
        <w:tc>
          <w:tcPr>
            <w:tcW w:w="111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BE720D">
            <w:pPr>
              <w:widowControl/>
              <w:textAlignment w:val="center"/>
              <w:rPr>
                <w:rFonts w:ascii="Times New Roman" w:eastAsia="仿宋_GB2312" w:hAnsi="Times New Roman" w:cs="Times New Roman"/>
                <w:color w:val="000000"/>
                <w:kern w:val="0"/>
                <w:sz w:val="22"/>
                <w:szCs w:val="22"/>
              </w:rPr>
            </w:pPr>
          </w:p>
          <w:p w:rsidR="00A41C90" w:rsidRPr="00BE720D" w:rsidRDefault="00BE720D" w:rsidP="00BE720D">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hint="eastAsia"/>
                <w:color w:val="000000"/>
                <w:kern w:val="0"/>
                <w:sz w:val="22"/>
                <w:szCs w:val="22"/>
              </w:rPr>
              <w:t>4</w:t>
            </w:r>
            <w:r>
              <w:rPr>
                <w:rFonts w:ascii="Times New Roman" w:eastAsia="仿宋_GB2312" w:hAnsi="Times New Roman" w:cs="Times New Roman"/>
                <w:color w:val="000000"/>
                <w:kern w:val="0"/>
                <w:sz w:val="22"/>
                <w:szCs w:val="22"/>
              </w:rPr>
              <w:t>项任务均已完成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A41C90" w:rsidP="00BE720D">
            <w:pPr>
              <w:widowControl/>
              <w:jc w:val="left"/>
              <w:textAlignment w:val="center"/>
              <w:rPr>
                <w:rFonts w:ascii="Times New Roman" w:eastAsia="仿宋_GB2312" w:hAnsi="Times New Roman" w:cs="Times New Roman"/>
                <w:color w:val="000000"/>
                <w:kern w:val="0"/>
                <w:sz w:val="22"/>
                <w:szCs w:val="22"/>
              </w:rPr>
            </w:pPr>
          </w:p>
        </w:tc>
      </w:tr>
      <w:tr w:rsidR="00EF5C27" w:rsidTr="00EF5C27">
        <w:trPr>
          <w:trHeight w:val="312"/>
        </w:trPr>
        <w:tc>
          <w:tcPr>
            <w:tcW w:w="470" w:type="pct"/>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spacing w:line="360" w:lineRule="auto"/>
              <w:jc w:val="center"/>
              <w:rPr>
                <w:rFonts w:ascii="Times New Roman" w:eastAsia="仿宋_GB2312" w:hAnsi="Times New Roman" w:cs="Times New Roman"/>
                <w:color w:val="000000"/>
                <w:sz w:val="22"/>
                <w:szCs w:val="22"/>
              </w:rPr>
            </w:pP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2</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BE720D" w:rsidP="00BE720D">
            <w:pPr>
              <w:widowControl/>
              <w:textAlignment w:val="center"/>
              <w:rPr>
                <w:rFonts w:ascii="Times New Roman" w:eastAsia="仿宋_GB2312" w:hAnsi="Times New Roman" w:cs="Times New Roman"/>
                <w:color w:val="000000"/>
                <w:kern w:val="0"/>
                <w:sz w:val="22"/>
                <w:szCs w:val="22"/>
              </w:rPr>
            </w:pPr>
            <w:r w:rsidRPr="00EF5C27">
              <w:rPr>
                <w:rFonts w:ascii="Times New Roman" w:eastAsia="仿宋_GB2312" w:hAnsi="Times New Roman" w:cs="Times New Roman" w:hint="eastAsia"/>
                <w:color w:val="000000"/>
                <w:kern w:val="0"/>
                <w:sz w:val="22"/>
                <w:szCs w:val="22"/>
              </w:rPr>
              <w:t>推进国际时尚城建设攻势，持续打造时尚文旅品牌</w:t>
            </w:r>
          </w:p>
        </w:tc>
        <w:tc>
          <w:tcPr>
            <w:tcW w:w="1110"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BE720D" w:rsidP="00BE720D">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hint="eastAsia"/>
                <w:color w:val="000000"/>
                <w:kern w:val="0"/>
                <w:sz w:val="22"/>
                <w:szCs w:val="22"/>
              </w:rPr>
              <w:t>7</w:t>
            </w:r>
            <w:r w:rsidR="00A41C90">
              <w:rPr>
                <w:rFonts w:ascii="Times New Roman" w:eastAsia="仿宋_GB2312" w:hAnsi="Times New Roman" w:cs="Times New Roman"/>
                <w:color w:val="000000"/>
                <w:kern w:val="0"/>
                <w:sz w:val="22"/>
                <w:szCs w:val="22"/>
              </w:rPr>
              <w:t>项任务均已完成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A41C90" w:rsidP="00BE720D">
            <w:pPr>
              <w:rPr>
                <w:rFonts w:ascii="Times New Roman" w:eastAsia="仿宋_GB2312" w:hAnsi="Times New Roman" w:cs="Times New Roman"/>
                <w:color w:val="000000"/>
                <w:kern w:val="0"/>
                <w:sz w:val="22"/>
                <w:szCs w:val="22"/>
              </w:rPr>
            </w:pPr>
          </w:p>
        </w:tc>
      </w:tr>
      <w:tr w:rsidR="00EF5C27" w:rsidTr="00EF5C27">
        <w:trPr>
          <w:trHeight w:val="312"/>
        </w:trPr>
        <w:tc>
          <w:tcPr>
            <w:tcW w:w="470" w:type="pct"/>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spacing w:line="360" w:lineRule="auto"/>
              <w:jc w:val="center"/>
              <w:rPr>
                <w:rFonts w:ascii="Times New Roman" w:eastAsia="仿宋_GB2312" w:hAnsi="Times New Roman" w:cs="Times New Roman"/>
                <w:color w:val="000000"/>
                <w:sz w:val="22"/>
                <w:szCs w:val="22"/>
              </w:rPr>
            </w:pP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3</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sidRPr="00EF5C27">
              <w:rPr>
                <w:rFonts w:ascii="Times New Roman" w:eastAsia="仿宋_GB2312" w:hAnsi="Times New Roman" w:cs="Times New Roman" w:hint="eastAsia"/>
                <w:color w:val="000000"/>
                <w:kern w:val="0"/>
                <w:sz w:val="22"/>
                <w:szCs w:val="22"/>
              </w:rPr>
              <w:t>深化实施全民阅读工程，夯实城市文化底蕴</w:t>
            </w:r>
          </w:p>
        </w:tc>
        <w:tc>
          <w:tcPr>
            <w:tcW w:w="1110"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hint="eastAsia"/>
                <w:color w:val="000000"/>
                <w:kern w:val="0"/>
                <w:sz w:val="22"/>
                <w:szCs w:val="22"/>
              </w:rPr>
              <w:t>4</w:t>
            </w:r>
            <w:r w:rsidR="00A41C90">
              <w:rPr>
                <w:rFonts w:ascii="Times New Roman" w:eastAsia="仿宋_GB2312" w:hAnsi="Times New Roman" w:cs="Times New Roman"/>
                <w:color w:val="000000"/>
                <w:kern w:val="0"/>
                <w:sz w:val="22"/>
                <w:szCs w:val="22"/>
              </w:rPr>
              <w:t>项任务均已完成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A41C90" w:rsidP="00BE720D">
            <w:pPr>
              <w:rPr>
                <w:rFonts w:ascii="Times New Roman" w:eastAsia="仿宋_GB2312" w:hAnsi="Times New Roman" w:cs="Times New Roman"/>
                <w:color w:val="000000"/>
                <w:kern w:val="0"/>
                <w:sz w:val="22"/>
                <w:szCs w:val="22"/>
              </w:rPr>
            </w:pPr>
          </w:p>
        </w:tc>
      </w:tr>
      <w:tr w:rsidR="00EF5C27" w:rsidTr="00EF5C27">
        <w:trPr>
          <w:trHeight w:val="312"/>
        </w:trPr>
        <w:tc>
          <w:tcPr>
            <w:tcW w:w="470" w:type="pct"/>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spacing w:line="360" w:lineRule="auto"/>
              <w:jc w:val="center"/>
              <w:rPr>
                <w:rFonts w:ascii="Times New Roman" w:eastAsia="仿宋_GB2312" w:hAnsi="Times New Roman" w:cs="Times New Roman"/>
                <w:color w:val="000000"/>
                <w:sz w:val="22"/>
                <w:szCs w:val="22"/>
              </w:rPr>
            </w:pP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4</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sidRPr="00EF5C27">
              <w:rPr>
                <w:rFonts w:ascii="Times New Roman" w:eastAsia="仿宋_GB2312" w:hAnsi="Times New Roman" w:cs="Times New Roman" w:hint="eastAsia"/>
                <w:color w:val="000000"/>
                <w:kern w:val="0"/>
                <w:sz w:val="22"/>
                <w:szCs w:val="22"/>
              </w:rPr>
              <w:t>创新旅游营销模式，拉动文化旅游惠民消费</w:t>
            </w:r>
          </w:p>
        </w:tc>
        <w:tc>
          <w:tcPr>
            <w:tcW w:w="1110"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hint="eastAsia"/>
                <w:color w:val="000000"/>
                <w:kern w:val="0"/>
                <w:sz w:val="22"/>
                <w:szCs w:val="22"/>
              </w:rPr>
              <w:t>6</w:t>
            </w:r>
            <w:r w:rsidR="00A41C90">
              <w:rPr>
                <w:rFonts w:ascii="Times New Roman" w:eastAsia="仿宋_GB2312" w:hAnsi="Times New Roman" w:cs="Times New Roman"/>
                <w:color w:val="000000"/>
                <w:kern w:val="0"/>
                <w:sz w:val="22"/>
                <w:szCs w:val="22"/>
              </w:rPr>
              <w:t>项任务已完成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A41C90" w:rsidP="00BE720D">
            <w:pPr>
              <w:rPr>
                <w:rFonts w:ascii="Times New Roman" w:eastAsia="仿宋_GB2312" w:hAnsi="Times New Roman" w:cs="Times New Roman"/>
                <w:color w:val="000000"/>
                <w:kern w:val="0"/>
                <w:sz w:val="22"/>
                <w:szCs w:val="22"/>
              </w:rPr>
            </w:pPr>
          </w:p>
        </w:tc>
      </w:tr>
      <w:tr w:rsidR="00EF5C27" w:rsidTr="00EF5C27">
        <w:trPr>
          <w:trHeight w:val="624"/>
        </w:trPr>
        <w:tc>
          <w:tcPr>
            <w:tcW w:w="470" w:type="pct"/>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spacing w:line="360" w:lineRule="auto"/>
              <w:jc w:val="center"/>
              <w:rPr>
                <w:rFonts w:ascii="Times New Roman" w:eastAsia="仿宋_GB2312" w:hAnsi="Times New Roman" w:cs="Times New Roman"/>
                <w:color w:val="000000"/>
                <w:sz w:val="22"/>
                <w:szCs w:val="22"/>
              </w:rPr>
            </w:pP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5</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sidRPr="00EF5C27">
              <w:rPr>
                <w:rFonts w:ascii="Times New Roman" w:eastAsia="仿宋_GB2312" w:hAnsi="Times New Roman" w:cs="Times New Roman" w:hint="eastAsia"/>
                <w:color w:val="000000"/>
                <w:kern w:val="0"/>
                <w:sz w:val="22"/>
                <w:szCs w:val="22"/>
              </w:rPr>
              <w:t>以建设上合商旅文中心为引领，全力推进招商引资工作</w:t>
            </w:r>
          </w:p>
        </w:tc>
        <w:tc>
          <w:tcPr>
            <w:tcW w:w="1110"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hint="eastAsia"/>
                <w:color w:val="000000"/>
                <w:kern w:val="0"/>
                <w:sz w:val="22"/>
                <w:szCs w:val="22"/>
              </w:rPr>
              <w:t>6</w:t>
            </w:r>
            <w:r w:rsidR="00A41C90">
              <w:rPr>
                <w:rFonts w:ascii="Times New Roman" w:eastAsia="仿宋_GB2312" w:hAnsi="Times New Roman" w:cs="Times New Roman"/>
                <w:color w:val="000000"/>
                <w:kern w:val="0"/>
                <w:sz w:val="22"/>
                <w:szCs w:val="22"/>
              </w:rPr>
              <w:t>项任务已完成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A41C90" w:rsidP="00BE720D">
            <w:pPr>
              <w:rPr>
                <w:rFonts w:ascii="Times New Roman" w:eastAsia="仿宋_GB2312" w:hAnsi="Times New Roman" w:cs="Times New Roman"/>
                <w:color w:val="000000"/>
                <w:kern w:val="0"/>
                <w:sz w:val="22"/>
                <w:szCs w:val="22"/>
              </w:rPr>
            </w:pPr>
          </w:p>
        </w:tc>
      </w:tr>
      <w:tr w:rsidR="00EF5C27" w:rsidTr="00EF5C27">
        <w:trPr>
          <w:trHeight w:val="312"/>
        </w:trPr>
        <w:tc>
          <w:tcPr>
            <w:tcW w:w="470" w:type="pct"/>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spacing w:line="360" w:lineRule="auto"/>
              <w:jc w:val="center"/>
              <w:rPr>
                <w:rFonts w:ascii="Times New Roman" w:eastAsia="仿宋_GB2312" w:hAnsi="Times New Roman" w:cs="Times New Roman"/>
                <w:color w:val="000000"/>
                <w:sz w:val="22"/>
                <w:szCs w:val="22"/>
              </w:rPr>
            </w:pP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6</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sidRPr="00EF5C27">
              <w:rPr>
                <w:rFonts w:ascii="Times New Roman" w:eastAsia="仿宋_GB2312" w:hAnsi="Times New Roman" w:cs="Times New Roman" w:hint="eastAsia"/>
                <w:color w:val="000000"/>
                <w:kern w:val="0"/>
                <w:sz w:val="22"/>
                <w:szCs w:val="22"/>
              </w:rPr>
              <w:t>加快基础设施建设，提升文化旅游公共服务水平</w:t>
            </w:r>
          </w:p>
        </w:tc>
        <w:tc>
          <w:tcPr>
            <w:tcW w:w="1110"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hint="eastAsia"/>
                <w:color w:val="000000"/>
                <w:kern w:val="0"/>
                <w:sz w:val="22"/>
                <w:szCs w:val="22"/>
              </w:rPr>
              <w:t>7</w:t>
            </w:r>
            <w:r w:rsidR="00A41C90">
              <w:rPr>
                <w:rFonts w:ascii="Times New Roman" w:eastAsia="仿宋_GB2312" w:hAnsi="Times New Roman" w:cs="Times New Roman"/>
                <w:color w:val="000000"/>
                <w:kern w:val="0"/>
                <w:sz w:val="22"/>
                <w:szCs w:val="22"/>
              </w:rPr>
              <w:t>项任务已完成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A41C90" w:rsidP="00BE720D">
            <w:pPr>
              <w:rPr>
                <w:rFonts w:ascii="Times New Roman" w:eastAsia="仿宋_GB2312" w:hAnsi="Times New Roman" w:cs="Times New Roman"/>
                <w:color w:val="000000"/>
                <w:kern w:val="0"/>
                <w:sz w:val="22"/>
                <w:szCs w:val="22"/>
              </w:rPr>
            </w:pPr>
          </w:p>
        </w:tc>
      </w:tr>
      <w:tr w:rsidR="00EF5C27" w:rsidTr="00EF5C27">
        <w:trPr>
          <w:trHeight w:val="704"/>
        </w:trPr>
        <w:tc>
          <w:tcPr>
            <w:tcW w:w="470" w:type="pct"/>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spacing w:line="360" w:lineRule="auto"/>
              <w:jc w:val="center"/>
              <w:rPr>
                <w:rFonts w:ascii="Times New Roman" w:eastAsia="仿宋_GB2312" w:hAnsi="Times New Roman" w:cs="Times New Roman"/>
                <w:color w:val="000000"/>
                <w:sz w:val="22"/>
                <w:szCs w:val="22"/>
              </w:rPr>
            </w:pP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7</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sidRPr="00EF5C27">
              <w:rPr>
                <w:rFonts w:ascii="Times New Roman" w:eastAsia="仿宋_GB2312" w:hAnsi="Times New Roman" w:cs="Times New Roman" w:hint="eastAsia"/>
                <w:color w:val="000000"/>
                <w:kern w:val="0"/>
                <w:sz w:val="22"/>
                <w:szCs w:val="22"/>
              </w:rPr>
              <w:t>加强文化遗产保护利用，打响滋养海洋文化根脉硬仗</w:t>
            </w:r>
          </w:p>
        </w:tc>
        <w:tc>
          <w:tcPr>
            <w:tcW w:w="111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EF5C27" w:rsidP="00EF5C27">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hint="eastAsia"/>
                <w:color w:val="000000"/>
                <w:kern w:val="0"/>
                <w:sz w:val="22"/>
                <w:szCs w:val="22"/>
              </w:rPr>
              <w:t>5</w:t>
            </w:r>
            <w:r>
              <w:rPr>
                <w:rFonts w:ascii="Times New Roman" w:eastAsia="仿宋_GB2312" w:hAnsi="Times New Roman" w:cs="Times New Roman"/>
                <w:color w:val="000000"/>
                <w:kern w:val="0"/>
                <w:sz w:val="22"/>
                <w:szCs w:val="22"/>
              </w:rPr>
              <w:t>项任务已完成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A41C90" w:rsidP="00EF5C27">
            <w:pPr>
              <w:widowControl/>
              <w:textAlignment w:val="center"/>
              <w:rPr>
                <w:rFonts w:ascii="Times New Roman" w:eastAsia="仿宋_GB2312" w:hAnsi="Times New Roman" w:cs="Times New Roman"/>
                <w:color w:val="000000"/>
                <w:kern w:val="0"/>
                <w:sz w:val="22"/>
                <w:szCs w:val="22"/>
              </w:rPr>
            </w:pPr>
          </w:p>
        </w:tc>
      </w:tr>
      <w:tr w:rsidR="00EF5C27" w:rsidTr="00EF5C27">
        <w:trPr>
          <w:trHeight w:val="828"/>
        </w:trPr>
        <w:tc>
          <w:tcPr>
            <w:tcW w:w="4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textDirection w:val="tbLrV"/>
            <w:vAlign w:val="center"/>
          </w:tcPr>
          <w:p w:rsidR="00A41C90" w:rsidRPr="00EF5C27" w:rsidRDefault="00EF5C27" w:rsidP="00EF5C27">
            <w:pPr>
              <w:widowControl/>
              <w:ind w:left="113" w:right="113"/>
              <w:jc w:val="center"/>
              <w:textAlignment w:val="center"/>
              <w:rPr>
                <w:rFonts w:ascii="Times New Roman" w:eastAsia="仿宋_GB2312" w:hAnsi="Times New Roman" w:cs="Times New Roman"/>
                <w:color w:val="000000"/>
                <w:sz w:val="20"/>
                <w:szCs w:val="20"/>
              </w:rPr>
            </w:pPr>
            <w:r w:rsidRPr="00EF5C27">
              <w:rPr>
                <w:rFonts w:ascii="Times New Roman" w:eastAsia="仿宋_GB2312" w:hAnsi="Times New Roman" w:cs="Times New Roman"/>
                <w:color w:val="000000"/>
                <w:spacing w:val="-20"/>
                <w:kern w:val="0"/>
                <w:sz w:val="20"/>
                <w:szCs w:val="20"/>
              </w:rPr>
              <w:t>创</w:t>
            </w:r>
            <w:r w:rsidRPr="00EF5C27">
              <w:rPr>
                <w:rFonts w:ascii="Times New Roman" w:eastAsia="仿宋_GB2312" w:hAnsi="Times New Roman" w:cs="Times New Roman" w:hint="eastAsia"/>
                <w:color w:val="000000"/>
                <w:spacing w:val="-20"/>
                <w:kern w:val="0"/>
                <w:sz w:val="20"/>
                <w:szCs w:val="20"/>
              </w:rPr>
              <w:t>优</w:t>
            </w:r>
            <w:r w:rsidR="00A41C90" w:rsidRPr="00EF5C27">
              <w:rPr>
                <w:rFonts w:ascii="Times New Roman" w:eastAsia="仿宋_GB2312" w:hAnsi="Times New Roman" w:cs="Times New Roman"/>
                <w:color w:val="000000"/>
                <w:spacing w:val="-20"/>
                <w:kern w:val="0"/>
                <w:sz w:val="20"/>
                <w:szCs w:val="20"/>
              </w:rPr>
              <w:t>目</w:t>
            </w:r>
            <w:r w:rsidR="00A41C90" w:rsidRPr="00EF5C27">
              <w:rPr>
                <w:rFonts w:ascii="Times New Roman" w:eastAsia="仿宋_GB2312" w:hAnsi="Times New Roman" w:cs="Times New Roman"/>
                <w:color w:val="000000"/>
                <w:kern w:val="0"/>
                <w:sz w:val="20"/>
                <w:szCs w:val="20"/>
              </w:rPr>
              <w:t>标</w:t>
            </w:r>
          </w:p>
        </w:tc>
        <w:tc>
          <w:tcPr>
            <w:tcW w:w="370"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color w:val="000000"/>
                <w:sz w:val="22"/>
                <w:szCs w:val="22"/>
              </w:rPr>
            </w:pPr>
            <w:r>
              <w:rPr>
                <w:rFonts w:ascii="Times New Roman" w:eastAsia="仿宋_GB2312" w:hAnsi="Times New Roman" w:cs="Times New Roman"/>
                <w:color w:val="000000"/>
                <w:kern w:val="0"/>
                <w:sz w:val="22"/>
                <w:szCs w:val="22"/>
              </w:rPr>
              <w:t>1</w:t>
            </w:r>
          </w:p>
        </w:tc>
        <w:tc>
          <w:tcPr>
            <w:tcW w:w="268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A41C90" w:rsidRPr="00BE720D" w:rsidRDefault="00EF5C27" w:rsidP="00BE720D">
            <w:pPr>
              <w:widowControl/>
              <w:textAlignment w:val="center"/>
              <w:rPr>
                <w:rFonts w:ascii="Times New Roman" w:eastAsia="仿宋_GB2312" w:hAnsi="Times New Roman" w:cs="Times New Roman"/>
                <w:color w:val="000000"/>
                <w:kern w:val="0"/>
                <w:sz w:val="22"/>
                <w:szCs w:val="22"/>
              </w:rPr>
            </w:pPr>
            <w:r w:rsidRPr="00EF5C27">
              <w:rPr>
                <w:rFonts w:ascii="Times New Roman" w:eastAsia="仿宋_GB2312" w:hAnsi="Times New Roman" w:cs="Times New Roman" w:hint="eastAsia"/>
                <w:color w:val="000000"/>
                <w:kern w:val="0"/>
                <w:sz w:val="22"/>
                <w:szCs w:val="22"/>
              </w:rPr>
              <w:t>推进胶东经济圈文化旅游一体化</w:t>
            </w:r>
            <w:r w:rsidRPr="00EF5C27">
              <w:rPr>
                <w:rFonts w:ascii="Times New Roman" w:eastAsia="仿宋_GB2312" w:hAnsi="Times New Roman" w:cs="Times New Roman" w:hint="eastAsia"/>
                <w:color w:val="000000"/>
                <w:kern w:val="0"/>
                <w:sz w:val="22"/>
                <w:szCs w:val="22"/>
              </w:rPr>
              <w:t>,</w:t>
            </w:r>
            <w:r w:rsidRPr="00EF5C27">
              <w:rPr>
                <w:rFonts w:ascii="Times New Roman" w:eastAsia="仿宋_GB2312" w:hAnsi="Times New Roman" w:cs="Times New Roman" w:hint="eastAsia"/>
                <w:color w:val="000000"/>
                <w:kern w:val="0"/>
                <w:sz w:val="22"/>
                <w:szCs w:val="22"/>
              </w:rPr>
              <w:t>招引影响力大、辐射力强的大型文旅融合项目</w:t>
            </w:r>
          </w:p>
        </w:tc>
        <w:tc>
          <w:tcPr>
            <w:tcW w:w="1110"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A41C90" w:rsidP="00BE720D">
            <w:pPr>
              <w:widowControl/>
              <w:textAlignment w:val="center"/>
              <w:rPr>
                <w:rFonts w:ascii="Times New Roman" w:eastAsia="仿宋_GB2312" w:hAnsi="Times New Roman" w:cs="Times New Roman"/>
                <w:color w:val="000000"/>
                <w:kern w:val="0"/>
                <w:sz w:val="22"/>
                <w:szCs w:val="22"/>
              </w:rPr>
            </w:pPr>
            <w:r>
              <w:rPr>
                <w:rFonts w:ascii="Times New Roman" w:eastAsia="仿宋_GB2312" w:hAnsi="Times New Roman" w:cs="Times New Roman"/>
                <w:color w:val="000000"/>
                <w:kern w:val="0"/>
                <w:sz w:val="22"/>
                <w:szCs w:val="22"/>
              </w:rPr>
              <w:t>已完成</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A41C90" w:rsidRPr="00BE720D" w:rsidRDefault="00A41C90" w:rsidP="00BE720D">
            <w:pPr>
              <w:rPr>
                <w:rFonts w:ascii="Times New Roman" w:eastAsia="仿宋_GB2312" w:hAnsi="Times New Roman" w:cs="Times New Roman"/>
                <w:color w:val="000000"/>
                <w:kern w:val="0"/>
                <w:sz w:val="22"/>
                <w:szCs w:val="22"/>
              </w:rPr>
            </w:pPr>
          </w:p>
        </w:tc>
      </w:tr>
    </w:tbl>
    <w:p w:rsidR="00A41C90" w:rsidRDefault="00A41C90" w:rsidP="00A41C90">
      <w:pPr>
        <w:spacing w:line="580" w:lineRule="exact"/>
        <w:ind w:firstLineChars="200" w:firstLine="643"/>
        <w:outlineLvl w:val="2"/>
        <w:rPr>
          <w:rFonts w:ascii="Times New Roman" w:eastAsia="仿宋" w:hAnsi="Times New Roman" w:cs="Times New Roman"/>
          <w:b/>
          <w:bCs/>
          <w:sz w:val="32"/>
          <w:szCs w:val="32"/>
        </w:rPr>
      </w:pPr>
      <w:r>
        <w:rPr>
          <w:rFonts w:ascii="Times New Roman" w:eastAsia="仿宋" w:hAnsi="Times New Roman" w:cs="Times New Roman"/>
          <w:b/>
          <w:bCs/>
          <w:sz w:val="32"/>
          <w:szCs w:val="32"/>
        </w:rPr>
        <w:t>4.</w:t>
      </w:r>
      <w:r>
        <w:rPr>
          <w:rFonts w:ascii="Times New Roman" w:eastAsia="仿宋" w:hAnsi="Times New Roman" w:cs="Times New Roman"/>
          <w:b/>
          <w:bCs/>
          <w:sz w:val="32"/>
          <w:szCs w:val="32"/>
        </w:rPr>
        <w:t>项目效果情况</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该指标下设1个二级指标，即“履职效益”，主要对部门整体经济效益、社会效益、行政效能、可持续效益和社会公众、其他部门（单位）或服务对象满意度等进行评价。</w:t>
      </w:r>
    </w:p>
    <w:p w:rsidR="00AE0794" w:rsidRDefault="00AE0794" w:rsidP="00A41C90">
      <w:pPr>
        <w:widowControl/>
        <w:jc w:val="center"/>
        <w:rPr>
          <w:rFonts w:ascii="Times New Roman" w:eastAsia="黑体" w:hAnsi="Times New Roman" w:cs="Times New Roman"/>
          <w:sz w:val="22"/>
          <w:szCs w:val="22"/>
        </w:rPr>
      </w:pPr>
    </w:p>
    <w:p w:rsidR="00AE0794" w:rsidRDefault="00AE0794" w:rsidP="00A41C90">
      <w:pPr>
        <w:widowControl/>
        <w:jc w:val="center"/>
        <w:rPr>
          <w:rFonts w:ascii="Times New Roman" w:eastAsia="黑体" w:hAnsi="Times New Roman" w:cs="Times New Roman"/>
          <w:sz w:val="22"/>
          <w:szCs w:val="22"/>
        </w:rPr>
      </w:pPr>
    </w:p>
    <w:p w:rsidR="00AE0794" w:rsidRDefault="00AE0794" w:rsidP="00A41C90">
      <w:pPr>
        <w:widowControl/>
        <w:jc w:val="center"/>
        <w:rPr>
          <w:rFonts w:ascii="Times New Roman" w:eastAsia="黑体" w:hAnsi="Times New Roman" w:cs="Times New Roman"/>
          <w:sz w:val="22"/>
          <w:szCs w:val="22"/>
        </w:rPr>
      </w:pPr>
    </w:p>
    <w:p w:rsidR="00AE0794" w:rsidRDefault="00AE0794" w:rsidP="00A41C90">
      <w:pPr>
        <w:widowControl/>
        <w:jc w:val="center"/>
        <w:rPr>
          <w:rFonts w:ascii="Times New Roman" w:eastAsia="黑体" w:hAnsi="Times New Roman" w:cs="Times New Roman"/>
          <w:sz w:val="22"/>
          <w:szCs w:val="22"/>
        </w:rPr>
      </w:pPr>
    </w:p>
    <w:p w:rsidR="00A41C90" w:rsidRDefault="00A41C90" w:rsidP="00A41C90">
      <w:pPr>
        <w:widowControl/>
        <w:jc w:val="center"/>
        <w:rPr>
          <w:rFonts w:ascii="Times New Roman" w:eastAsia="宋体" w:hAnsi="Times New Roman" w:cs="Times New Roman"/>
          <w:kern w:val="0"/>
          <w:sz w:val="22"/>
          <w:szCs w:val="22"/>
        </w:rPr>
      </w:pPr>
      <w:r>
        <w:rPr>
          <w:rFonts w:ascii="Times New Roman" w:eastAsia="黑体" w:hAnsi="Times New Roman" w:cs="Times New Roman"/>
          <w:sz w:val="22"/>
          <w:szCs w:val="22"/>
        </w:rPr>
        <w:t>表</w:t>
      </w:r>
      <w:r>
        <w:rPr>
          <w:rFonts w:ascii="Times New Roman" w:eastAsia="黑体" w:hAnsi="Times New Roman" w:cs="Times New Roman"/>
          <w:sz w:val="22"/>
          <w:szCs w:val="22"/>
        </w:rPr>
        <w:t xml:space="preserve">3.8  </w:t>
      </w:r>
      <w:r>
        <w:rPr>
          <w:rFonts w:ascii="Times New Roman" w:eastAsia="黑体" w:hAnsi="Times New Roman" w:cs="Times New Roman"/>
          <w:sz w:val="22"/>
          <w:szCs w:val="22"/>
        </w:rPr>
        <w:t>项目效果二级、三级指标得分情况表</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740"/>
        <w:gridCol w:w="906"/>
        <w:gridCol w:w="906"/>
        <w:gridCol w:w="2988"/>
        <w:gridCol w:w="891"/>
        <w:gridCol w:w="892"/>
      </w:tblGrid>
      <w:tr w:rsidR="00A41C90" w:rsidTr="00EF5C27">
        <w:trPr>
          <w:trHeight w:val="312"/>
          <w:tblHeader/>
        </w:trPr>
        <w:tc>
          <w:tcPr>
            <w:tcW w:w="1045"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sz w:val="22"/>
                <w:szCs w:val="22"/>
              </w:rPr>
            </w:pPr>
            <w:r>
              <w:rPr>
                <w:rFonts w:ascii="Times New Roman" w:eastAsia="黑体" w:hAnsi="Times New Roman" w:cs="Times New Roman"/>
                <w:bCs/>
                <w:kern w:val="0"/>
                <w:sz w:val="22"/>
                <w:szCs w:val="22"/>
              </w:rPr>
              <w:lastRenderedPageBreak/>
              <w:t>二级指标</w:t>
            </w:r>
          </w:p>
        </w:tc>
        <w:tc>
          <w:tcPr>
            <w:tcW w:w="544"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544"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c>
          <w:tcPr>
            <w:tcW w:w="1795"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三级指标</w:t>
            </w:r>
          </w:p>
        </w:tc>
        <w:tc>
          <w:tcPr>
            <w:tcW w:w="535"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w:t>
            </w:r>
          </w:p>
        </w:tc>
        <w:tc>
          <w:tcPr>
            <w:tcW w:w="536" w:type="pct"/>
            <w:shd w:val="clear" w:color="auto" w:fill="BEBEB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黑体" w:hAnsi="Times New Roman" w:cs="Times New Roman"/>
                <w:bCs/>
                <w:kern w:val="0"/>
                <w:sz w:val="22"/>
                <w:szCs w:val="22"/>
              </w:rPr>
            </w:pPr>
            <w:r>
              <w:rPr>
                <w:rFonts w:ascii="Times New Roman" w:eastAsia="黑体" w:hAnsi="Times New Roman" w:cs="Times New Roman"/>
                <w:bCs/>
                <w:kern w:val="0"/>
                <w:sz w:val="22"/>
                <w:szCs w:val="22"/>
              </w:rPr>
              <w:t>得分率</w:t>
            </w:r>
          </w:p>
        </w:tc>
      </w:tr>
      <w:tr w:rsidR="00A41C90" w:rsidTr="00A41C90">
        <w:trPr>
          <w:trHeight w:val="387"/>
        </w:trPr>
        <w:tc>
          <w:tcPr>
            <w:tcW w:w="1044" w:type="pct"/>
            <w:vMerge w:val="restart"/>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履职效益（</w:t>
            </w:r>
            <w:r>
              <w:rPr>
                <w:rFonts w:ascii="Times New Roman" w:eastAsia="仿宋_GB2312" w:hAnsi="Times New Roman" w:cs="Times New Roman"/>
                <w:kern w:val="0"/>
                <w:sz w:val="22"/>
                <w:szCs w:val="22"/>
              </w:rPr>
              <w:t>30</w:t>
            </w:r>
            <w:r>
              <w:rPr>
                <w:rFonts w:ascii="Times New Roman" w:eastAsia="仿宋_GB2312" w:hAnsi="Times New Roman" w:cs="Times New Roman"/>
                <w:kern w:val="0"/>
                <w:sz w:val="22"/>
                <w:szCs w:val="22"/>
              </w:rPr>
              <w:t>分）</w:t>
            </w:r>
          </w:p>
        </w:tc>
        <w:tc>
          <w:tcPr>
            <w:tcW w:w="544" w:type="pct"/>
            <w:vMerge w:val="restart"/>
            <w:noWrap/>
            <w:tcMar>
              <w:top w:w="12" w:type="dxa"/>
              <w:left w:w="12" w:type="dxa"/>
              <w:right w:w="12" w:type="dxa"/>
            </w:tcMar>
            <w:vAlign w:val="center"/>
          </w:tcPr>
          <w:p w:rsidR="00A41C90" w:rsidRDefault="00EF5C27"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30</w:t>
            </w:r>
          </w:p>
        </w:tc>
        <w:tc>
          <w:tcPr>
            <w:tcW w:w="544" w:type="pct"/>
            <w:vMerge w:val="restart"/>
            <w:noWrap/>
            <w:tcMar>
              <w:top w:w="12" w:type="dxa"/>
              <w:left w:w="12" w:type="dxa"/>
              <w:right w:w="12" w:type="dxa"/>
            </w:tcMar>
            <w:vAlign w:val="center"/>
          </w:tcPr>
          <w:p w:rsidR="00A41C90" w:rsidRDefault="00EF5C27"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c>
          <w:tcPr>
            <w:tcW w:w="1794" w:type="pct"/>
            <w:noWrap/>
            <w:tcMar>
              <w:top w:w="12" w:type="dxa"/>
              <w:left w:w="12" w:type="dxa"/>
              <w:right w:w="12" w:type="dxa"/>
            </w:tcMar>
            <w:vAlign w:val="center"/>
          </w:tcPr>
          <w:p w:rsidR="00A41C90" w:rsidRDefault="00A41C90" w:rsidP="00EF5C27">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经济效益（</w:t>
            </w:r>
            <w:r w:rsidR="00EF5C27">
              <w:rPr>
                <w:rFonts w:ascii="Times New Roman" w:eastAsia="仿宋_GB2312" w:hAnsi="Times New Roman" w:cs="Times New Roman" w:hint="eastAsia"/>
                <w:kern w:val="0"/>
                <w:sz w:val="22"/>
                <w:szCs w:val="22"/>
              </w:rPr>
              <w:t>4</w:t>
            </w:r>
            <w:r>
              <w:rPr>
                <w:rFonts w:ascii="Times New Roman" w:eastAsia="仿宋_GB2312" w:hAnsi="Times New Roman" w:cs="Times New Roman"/>
                <w:kern w:val="0"/>
                <w:sz w:val="22"/>
                <w:szCs w:val="22"/>
              </w:rPr>
              <w:t>分）</w:t>
            </w:r>
          </w:p>
        </w:tc>
        <w:tc>
          <w:tcPr>
            <w:tcW w:w="535" w:type="pct"/>
            <w:noWrap/>
            <w:tcMar>
              <w:top w:w="12" w:type="dxa"/>
              <w:left w:w="12" w:type="dxa"/>
              <w:right w:w="12" w:type="dxa"/>
            </w:tcMar>
            <w:vAlign w:val="center"/>
          </w:tcPr>
          <w:p w:rsidR="00A41C90" w:rsidRDefault="00EF5C27"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4</w:t>
            </w:r>
          </w:p>
        </w:tc>
        <w:tc>
          <w:tcPr>
            <w:tcW w:w="536" w:type="pct"/>
            <w:noWrap/>
            <w:tcMar>
              <w:top w:w="12" w:type="dxa"/>
              <w:left w:w="12" w:type="dxa"/>
              <w:right w:w="12" w:type="dxa"/>
            </w:tcMar>
            <w:vAlign w:val="center"/>
          </w:tcPr>
          <w:p w:rsidR="00A41C90" w:rsidRDefault="00EF5C27"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r>
      <w:tr w:rsidR="00A41C90" w:rsidTr="00A41C90">
        <w:trPr>
          <w:trHeight w:val="312"/>
        </w:trPr>
        <w:tc>
          <w:tcPr>
            <w:tcW w:w="1044"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4"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4"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794" w:type="pct"/>
            <w:noWrap/>
            <w:tcMar>
              <w:top w:w="12" w:type="dxa"/>
              <w:left w:w="12" w:type="dxa"/>
              <w:right w:w="12" w:type="dxa"/>
            </w:tcMar>
            <w:vAlign w:val="center"/>
          </w:tcPr>
          <w:p w:rsidR="00A41C90" w:rsidRDefault="00A41C90" w:rsidP="00EF5C27">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社会效益（</w:t>
            </w:r>
            <w:r w:rsidR="00EF5C27">
              <w:rPr>
                <w:rFonts w:ascii="Times New Roman" w:eastAsia="仿宋_GB2312" w:hAnsi="Times New Roman" w:cs="Times New Roman" w:hint="eastAsia"/>
                <w:kern w:val="0"/>
                <w:sz w:val="22"/>
                <w:szCs w:val="22"/>
              </w:rPr>
              <w:t>4</w:t>
            </w:r>
            <w:r>
              <w:rPr>
                <w:rFonts w:ascii="Times New Roman" w:eastAsia="仿宋_GB2312" w:hAnsi="Times New Roman" w:cs="Times New Roman"/>
                <w:kern w:val="0"/>
                <w:sz w:val="22"/>
                <w:szCs w:val="22"/>
              </w:rPr>
              <w:t>分）</w:t>
            </w:r>
          </w:p>
        </w:tc>
        <w:tc>
          <w:tcPr>
            <w:tcW w:w="535" w:type="pct"/>
            <w:noWrap/>
            <w:tcMar>
              <w:top w:w="12" w:type="dxa"/>
              <w:left w:w="12" w:type="dxa"/>
              <w:right w:w="12" w:type="dxa"/>
            </w:tcMar>
            <w:vAlign w:val="center"/>
          </w:tcPr>
          <w:p w:rsidR="00A41C90" w:rsidRDefault="00EF5C27"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4</w:t>
            </w:r>
          </w:p>
        </w:tc>
        <w:tc>
          <w:tcPr>
            <w:tcW w:w="53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r w:rsidR="00A41C90" w:rsidTr="00A41C90">
        <w:trPr>
          <w:trHeight w:val="312"/>
        </w:trPr>
        <w:tc>
          <w:tcPr>
            <w:tcW w:w="1044"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4"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4"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794" w:type="pct"/>
            <w:noWrap/>
            <w:tcMar>
              <w:top w:w="12" w:type="dxa"/>
              <w:left w:w="12" w:type="dxa"/>
              <w:right w:w="12" w:type="dxa"/>
            </w:tcMar>
            <w:vAlign w:val="center"/>
          </w:tcPr>
          <w:p w:rsidR="00A41C90" w:rsidRDefault="00A41C90" w:rsidP="00EF5C27">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行政效能（</w:t>
            </w:r>
            <w:r w:rsidR="00EF5C27">
              <w:rPr>
                <w:rFonts w:ascii="Times New Roman" w:eastAsia="仿宋_GB2312" w:hAnsi="Times New Roman" w:cs="Times New Roman" w:hint="eastAsia"/>
                <w:kern w:val="0"/>
                <w:sz w:val="22"/>
                <w:szCs w:val="22"/>
              </w:rPr>
              <w:t>12</w:t>
            </w:r>
            <w:r>
              <w:rPr>
                <w:rFonts w:ascii="Times New Roman" w:eastAsia="仿宋_GB2312" w:hAnsi="Times New Roman" w:cs="Times New Roman"/>
                <w:kern w:val="0"/>
                <w:sz w:val="22"/>
                <w:szCs w:val="22"/>
              </w:rPr>
              <w:t>分）</w:t>
            </w:r>
          </w:p>
        </w:tc>
        <w:tc>
          <w:tcPr>
            <w:tcW w:w="535" w:type="pct"/>
            <w:noWrap/>
            <w:tcMar>
              <w:top w:w="12" w:type="dxa"/>
              <w:left w:w="12" w:type="dxa"/>
              <w:right w:w="12" w:type="dxa"/>
            </w:tcMar>
            <w:vAlign w:val="center"/>
          </w:tcPr>
          <w:p w:rsidR="00A41C90" w:rsidRDefault="00EF5C27"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12</w:t>
            </w:r>
          </w:p>
        </w:tc>
        <w:tc>
          <w:tcPr>
            <w:tcW w:w="536" w:type="pct"/>
            <w:noWrap/>
            <w:tcMar>
              <w:top w:w="12" w:type="dxa"/>
              <w:left w:w="12" w:type="dxa"/>
              <w:right w:w="12" w:type="dxa"/>
            </w:tcMar>
            <w:vAlign w:val="center"/>
          </w:tcPr>
          <w:p w:rsidR="00A41C90" w:rsidRDefault="00EF5C27"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hint="eastAsia"/>
                <w:kern w:val="0"/>
                <w:sz w:val="22"/>
                <w:szCs w:val="22"/>
              </w:rPr>
              <w:t>100</w:t>
            </w:r>
            <w:r w:rsidR="00A41C90">
              <w:rPr>
                <w:rFonts w:ascii="Times New Roman" w:eastAsia="仿宋_GB2312" w:hAnsi="Times New Roman" w:cs="Times New Roman"/>
                <w:kern w:val="0"/>
                <w:sz w:val="22"/>
                <w:szCs w:val="22"/>
              </w:rPr>
              <w:t>%</w:t>
            </w:r>
          </w:p>
        </w:tc>
      </w:tr>
      <w:tr w:rsidR="00A41C90" w:rsidTr="00A41C90">
        <w:trPr>
          <w:trHeight w:val="312"/>
        </w:trPr>
        <w:tc>
          <w:tcPr>
            <w:tcW w:w="1044" w:type="pct"/>
            <w:vMerge/>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4"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544" w:type="pct"/>
            <w:vMerge/>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p>
        </w:tc>
        <w:tc>
          <w:tcPr>
            <w:tcW w:w="1794"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社会公众、其他部门（单位）或服务对象满意度（</w:t>
            </w:r>
            <w:r>
              <w:rPr>
                <w:rFonts w:ascii="Times New Roman" w:eastAsia="仿宋_GB2312" w:hAnsi="Times New Roman" w:cs="Times New Roman"/>
                <w:kern w:val="0"/>
                <w:sz w:val="22"/>
                <w:szCs w:val="22"/>
              </w:rPr>
              <w:t>10</w:t>
            </w:r>
            <w:r>
              <w:rPr>
                <w:rFonts w:ascii="Times New Roman" w:eastAsia="仿宋_GB2312" w:hAnsi="Times New Roman" w:cs="Times New Roman"/>
                <w:kern w:val="0"/>
                <w:sz w:val="22"/>
                <w:szCs w:val="22"/>
              </w:rPr>
              <w:t>分）</w:t>
            </w:r>
          </w:p>
        </w:tc>
        <w:tc>
          <w:tcPr>
            <w:tcW w:w="535"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w:t>
            </w:r>
          </w:p>
        </w:tc>
        <w:tc>
          <w:tcPr>
            <w:tcW w:w="536" w:type="pct"/>
            <w:noWrap/>
            <w:tcMar>
              <w:top w:w="12" w:type="dxa"/>
              <w:left w:w="12" w:type="dxa"/>
              <w:right w:w="12" w:type="dxa"/>
            </w:tcMar>
            <w:vAlign w:val="center"/>
          </w:tcPr>
          <w:p w:rsidR="00A41C90" w:rsidRDefault="00A41C90" w:rsidP="00A41C90">
            <w:pPr>
              <w:widowControl/>
              <w:spacing w:line="360" w:lineRule="auto"/>
              <w:jc w:val="center"/>
              <w:textAlignment w:val="center"/>
              <w:rPr>
                <w:rFonts w:ascii="Times New Roman" w:eastAsia="仿宋_GB2312" w:hAnsi="Times New Roman" w:cs="Times New Roman"/>
                <w:kern w:val="0"/>
                <w:sz w:val="22"/>
                <w:szCs w:val="22"/>
              </w:rPr>
            </w:pPr>
            <w:r>
              <w:rPr>
                <w:rFonts w:ascii="Times New Roman" w:eastAsia="仿宋_GB2312" w:hAnsi="Times New Roman" w:cs="Times New Roman"/>
                <w:kern w:val="0"/>
                <w:sz w:val="22"/>
                <w:szCs w:val="22"/>
              </w:rPr>
              <w:t>100%</w:t>
            </w:r>
          </w:p>
        </w:tc>
      </w:tr>
    </w:tbl>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（1）经济效益：指标满分8分，评价得分</w:t>
      </w:r>
      <w:r w:rsidR="00EF5C27" w:rsidRPr="00AE0794">
        <w:rPr>
          <w:rFonts w:ascii="仿宋_GB2312" w:eastAsia="仿宋_GB2312" w:hAnsi="Times New Roman" w:cs="Times New Roman" w:hint="eastAsia"/>
          <w:sz w:val="32"/>
          <w:szCs w:val="32"/>
        </w:rPr>
        <w:t>8</w:t>
      </w:r>
      <w:r w:rsidRPr="00AE0794">
        <w:rPr>
          <w:rFonts w:ascii="仿宋_GB2312" w:eastAsia="仿宋_GB2312" w:hAnsi="Times New Roman" w:cs="Times New Roman" w:hint="eastAsia"/>
          <w:sz w:val="32"/>
          <w:szCs w:val="32"/>
        </w:rPr>
        <w:t>分，得分率为</w:t>
      </w:r>
      <w:r w:rsidR="00EF5C27"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%。青岛市</w:t>
      </w:r>
      <w:r w:rsidR="00EF5C27" w:rsidRPr="00AE0794">
        <w:rPr>
          <w:rFonts w:ascii="仿宋_GB2312" w:eastAsia="仿宋_GB2312" w:hAnsi="Times New Roman" w:cs="Times New Roman" w:hint="eastAsia"/>
          <w:sz w:val="32"/>
          <w:szCs w:val="32"/>
        </w:rPr>
        <w:t>2020</w:t>
      </w:r>
      <w:r w:rsidRPr="00AE0794">
        <w:rPr>
          <w:rFonts w:ascii="仿宋_GB2312" w:eastAsia="仿宋_GB2312" w:hAnsi="Times New Roman" w:cs="Times New Roman" w:hint="eastAsia"/>
          <w:sz w:val="32"/>
          <w:szCs w:val="32"/>
        </w:rPr>
        <w:t>年</w:t>
      </w:r>
      <w:r w:rsidR="00EF5C27" w:rsidRPr="00AE0794">
        <w:rPr>
          <w:rFonts w:ascii="仿宋_GB2312" w:eastAsia="仿宋_GB2312" w:hAnsi="Times New Roman" w:cs="Times New Roman" w:hint="eastAsia"/>
          <w:sz w:val="32"/>
          <w:szCs w:val="32"/>
        </w:rPr>
        <w:t>消费券拉动文化直接消费8457万元。</w:t>
      </w:r>
      <w:r w:rsidR="00420F63" w:rsidRPr="00AE0794">
        <w:rPr>
          <w:rFonts w:ascii="仿宋_GB2312" w:eastAsia="仿宋_GB2312" w:hAnsi="Times New Roman" w:cs="Times New Roman" w:hint="eastAsia"/>
          <w:sz w:val="32"/>
          <w:szCs w:val="32"/>
        </w:rPr>
        <w:t>消费券拉动旅游直接消费</w:t>
      </w:r>
      <w:r w:rsidR="00EF5C27" w:rsidRPr="00AE0794">
        <w:rPr>
          <w:rFonts w:ascii="仿宋_GB2312" w:eastAsia="仿宋_GB2312" w:hAnsi="Times New Roman" w:cs="Times New Roman" w:hint="eastAsia"/>
          <w:sz w:val="32"/>
          <w:szCs w:val="32"/>
        </w:rPr>
        <w:t>8133.28万元</w:t>
      </w:r>
      <w:r w:rsidRPr="00AE0794">
        <w:rPr>
          <w:rFonts w:ascii="仿宋_GB2312" w:eastAsia="仿宋_GB2312" w:hAnsi="Times New Roman" w:cs="Times New Roman" w:hint="eastAsia"/>
          <w:sz w:val="32"/>
          <w:szCs w:val="32"/>
        </w:rPr>
        <w:t>。</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（2）社会效益：指标满分8分，评价得分8分，得分率为100%。</w:t>
      </w:r>
    </w:p>
    <w:p w:rsidR="00420F63" w:rsidRPr="00AE0794" w:rsidRDefault="00A41C90" w:rsidP="00420F63">
      <w:pPr>
        <w:spacing w:line="56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①</w:t>
      </w:r>
      <w:r w:rsidR="00420F63" w:rsidRPr="00AE0794">
        <w:rPr>
          <w:rFonts w:ascii="仿宋_GB2312" w:eastAsia="仿宋_GB2312" w:hAnsi="Times New Roman" w:cs="Times New Roman" w:hint="eastAsia"/>
          <w:sz w:val="32"/>
          <w:szCs w:val="32"/>
        </w:rPr>
        <w:t>举办时尚文旅活动完成情况</w:t>
      </w:r>
      <w:r w:rsidRPr="00AE0794">
        <w:rPr>
          <w:rFonts w:ascii="仿宋_GB2312" w:eastAsia="仿宋_GB2312" w:hAnsi="Times New Roman" w:cs="Times New Roman" w:hint="eastAsia"/>
          <w:sz w:val="32"/>
          <w:szCs w:val="32"/>
        </w:rPr>
        <w:t>。20</w:t>
      </w:r>
      <w:r w:rsidR="00420F63"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w:t>
      </w:r>
      <w:r w:rsidR="00420F63" w:rsidRPr="00AE0794">
        <w:rPr>
          <w:rFonts w:ascii="仿宋_GB2312" w:eastAsia="仿宋_GB2312" w:hAnsi="Times New Roman" w:cs="Times New Roman" w:hint="eastAsia"/>
          <w:sz w:val="32"/>
          <w:szCs w:val="32"/>
        </w:rPr>
        <w:t>功举办了第55届全国工艺品交易会、青岛国际影视博览会、第八届国际邮轮峰会、谭盾·青岛国际音乐周、国际吉他艺术节等文旅节会活动，有效提升了时尚城市影响力和关注度；打造了“栈桥+回澜阁”文旅品牌VI形象系统，推出“时尚青岛”十大系列主题产品，包括100项潮流打卡地，105项时尚体验项目，25条精品线路等内容，并结合519旅游日等进行了宣传推广。叶小钢《青岛组曲》预计12月中旬完成。歌剧《国·家》主创人员11月25日在北京参加剧本研讨会。吕剧《民心安处是吾乡》已于2020年9月1日、2日在青岛人民会堂进行了首演。</w:t>
      </w:r>
    </w:p>
    <w:p w:rsidR="00420F63" w:rsidRPr="00AE0794" w:rsidRDefault="00A41C90" w:rsidP="00420F63">
      <w:pPr>
        <w:spacing w:line="560" w:lineRule="exact"/>
        <w:ind w:firstLineChars="200" w:firstLine="640"/>
        <w:contextualSpacing/>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②</w:t>
      </w:r>
      <w:r w:rsidR="00420F63" w:rsidRPr="00AE0794">
        <w:rPr>
          <w:rFonts w:ascii="仿宋_GB2312" w:eastAsia="仿宋_GB2312" w:hAnsi="Times New Roman" w:cs="Times New Roman" w:hint="eastAsia"/>
          <w:sz w:val="32"/>
          <w:szCs w:val="32"/>
        </w:rPr>
        <w:t>加大文物保护情况</w:t>
      </w:r>
      <w:r w:rsidRPr="00AE0794">
        <w:rPr>
          <w:rFonts w:ascii="仿宋_GB2312" w:eastAsia="仿宋_GB2312" w:hAnsi="Times New Roman" w:cs="Times New Roman" w:hint="eastAsia"/>
          <w:sz w:val="32"/>
          <w:szCs w:val="32"/>
        </w:rPr>
        <w:t>。</w:t>
      </w:r>
      <w:r w:rsidR="00420F63" w:rsidRPr="00AE0794">
        <w:rPr>
          <w:rFonts w:ascii="仿宋_GB2312" w:eastAsia="仿宋_GB2312" w:hAnsi="Times New Roman" w:cs="Times New Roman" w:hint="eastAsia"/>
          <w:sz w:val="32"/>
          <w:szCs w:val="32"/>
        </w:rPr>
        <w:t>2020</w:t>
      </w:r>
      <w:r w:rsidRPr="00AE0794">
        <w:rPr>
          <w:rFonts w:ascii="仿宋_GB2312" w:eastAsia="仿宋_GB2312" w:hAnsi="Times New Roman" w:cs="Times New Roman" w:hint="eastAsia"/>
          <w:sz w:val="32"/>
          <w:szCs w:val="32"/>
        </w:rPr>
        <w:t>年</w:t>
      </w:r>
      <w:r w:rsidR="00420F63" w:rsidRPr="00AE0794">
        <w:rPr>
          <w:rFonts w:ascii="仿宋_GB2312" w:eastAsia="仿宋_GB2312" w:hAnsi="Times New Roman" w:cs="Times New Roman" w:hint="eastAsia"/>
          <w:sz w:val="32"/>
          <w:szCs w:val="32"/>
        </w:rPr>
        <w:t>，开展了琅琊台遗址2020年度考古发掘、金口港遗址考古调查勘探和胶州湾外围海域水下文化遗产考古调查，在大公岛南部海域确认1处一战时</w:t>
      </w:r>
      <w:r w:rsidR="00420F63" w:rsidRPr="00AE0794">
        <w:rPr>
          <w:rFonts w:ascii="仿宋_GB2312" w:eastAsia="仿宋_GB2312" w:hAnsi="Times New Roman" w:cs="Times New Roman" w:hint="eastAsia"/>
          <w:sz w:val="32"/>
          <w:szCs w:val="32"/>
        </w:rPr>
        <w:lastRenderedPageBreak/>
        <w:t>期沉舰遗址；出台了《青岛市革命文物保护利用工程的实施意见》；举办了《青岛老城区申报世界文化遗产展</w:t>
      </w:r>
      <w:r w:rsidR="00420F63" w:rsidRPr="00AE0794">
        <w:rPr>
          <w:rFonts w:ascii="仿宋_GB2312" w:eastAsia="宋体" w:hAnsi="宋体" w:cs="宋体" w:hint="eastAsia"/>
          <w:sz w:val="32"/>
          <w:szCs w:val="32"/>
        </w:rPr>
        <w:t>•</w:t>
      </w:r>
      <w:r w:rsidR="00420F63" w:rsidRPr="00AE0794">
        <w:rPr>
          <w:rFonts w:ascii="仿宋_GB2312" w:eastAsia="仿宋_GB2312" w:hAnsi="Times New Roman" w:cs="Times New Roman" w:hint="eastAsia"/>
          <w:sz w:val="32"/>
          <w:szCs w:val="32"/>
        </w:rPr>
        <w:t>序篇——青岛文物保护建筑摄影展》。完成《青岛老城区申报世界文化遗产预备名录文本》编制；新增博物馆6家，我市“博物馆之城”建设荣获第四届省文化创新奖；认定公布第四批市级非遗传承人31人。</w:t>
      </w:r>
    </w:p>
    <w:p w:rsidR="00A41C90" w:rsidRPr="00AE0794" w:rsidRDefault="00A41C90" w:rsidP="00A41C90">
      <w:pPr>
        <w:spacing w:line="580" w:lineRule="exact"/>
        <w:ind w:firstLineChars="200" w:firstLine="640"/>
        <w:rPr>
          <w:rFonts w:ascii="仿宋_GB2312" w:eastAsia="仿宋_GB2312" w:hAnsi="Times New Roman" w:cs="Times New Roman"/>
          <w:sz w:val="32"/>
          <w:szCs w:val="32"/>
        </w:rPr>
      </w:pPr>
      <w:r w:rsidRPr="00AE0794">
        <w:rPr>
          <w:rFonts w:ascii="仿宋_GB2312" w:eastAsia="仿宋_GB2312" w:hAnsi="Times New Roman" w:cs="Times New Roman" w:hint="eastAsia"/>
          <w:sz w:val="32"/>
          <w:szCs w:val="32"/>
        </w:rPr>
        <w:t>（3）行政效能：指标满分2分，评价得分</w:t>
      </w:r>
      <w:r w:rsidR="00420F63" w:rsidRPr="00AE0794">
        <w:rPr>
          <w:rFonts w:ascii="仿宋_GB2312" w:eastAsia="仿宋_GB2312" w:hAnsi="Times New Roman" w:cs="Times New Roman" w:hint="eastAsia"/>
          <w:sz w:val="32"/>
          <w:szCs w:val="32"/>
        </w:rPr>
        <w:t>2</w:t>
      </w:r>
      <w:r w:rsidRPr="00AE0794">
        <w:rPr>
          <w:rFonts w:ascii="仿宋_GB2312" w:eastAsia="仿宋_GB2312" w:hAnsi="Times New Roman" w:cs="Times New Roman" w:hint="eastAsia"/>
          <w:sz w:val="32"/>
          <w:szCs w:val="32"/>
        </w:rPr>
        <w:t>分，得分率为</w:t>
      </w:r>
      <w:r w:rsidR="00420F63"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%。20</w:t>
      </w:r>
      <w:r w:rsidR="00420F63" w:rsidRPr="00AE0794">
        <w:rPr>
          <w:rFonts w:ascii="仿宋_GB2312" w:eastAsia="仿宋_GB2312" w:hAnsi="Times New Roman" w:cs="Times New Roman" w:hint="eastAsia"/>
          <w:sz w:val="32"/>
          <w:szCs w:val="32"/>
        </w:rPr>
        <w:t>20</w:t>
      </w:r>
      <w:r w:rsidRPr="00AE0794">
        <w:rPr>
          <w:rFonts w:ascii="仿宋_GB2312" w:eastAsia="仿宋_GB2312" w:hAnsi="Times New Roman" w:cs="Times New Roman" w:hint="eastAsia"/>
          <w:sz w:val="32"/>
          <w:szCs w:val="32"/>
        </w:rPr>
        <w:t>年青岛市文化和旅游局</w:t>
      </w:r>
      <w:r w:rsidR="00E43655" w:rsidRPr="00AE0794">
        <w:rPr>
          <w:rFonts w:ascii="仿宋_GB2312" w:eastAsia="仿宋_GB2312" w:hAnsi="Times New Roman" w:cs="Times New Roman" w:hint="eastAsia"/>
          <w:sz w:val="32"/>
          <w:szCs w:val="32"/>
        </w:rPr>
        <w:t>8</w:t>
      </w:r>
      <w:r w:rsidRPr="00AE0794">
        <w:rPr>
          <w:rFonts w:ascii="仿宋_GB2312" w:eastAsia="仿宋_GB2312" w:hAnsi="Times New Roman" w:cs="Times New Roman" w:hint="eastAsia"/>
          <w:sz w:val="32"/>
          <w:szCs w:val="32"/>
        </w:rPr>
        <w:t>项业务职能目标完成率</w:t>
      </w:r>
      <w:r w:rsidR="00E43655" w:rsidRPr="00AE0794">
        <w:rPr>
          <w:rFonts w:ascii="仿宋_GB2312" w:eastAsia="仿宋_GB2312" w:hAnsi="Times New Roman" w:cs="Times New Roman" w:hint="eastAsia"/>
          <w:sz w:val="32"/>
          <w:szCs w:val="32"/>
        </w:rPr>
        <w:t>10</w:t>
      </w:r>
      <w:r w:rsidRPr="00AE0794">
        <w:rPr>
          <w:rFonts w:ascii="仿宋_GB2312" w:eastAsia="仿宋_GB2312" w:hAnsi="Times New Roman" w:cs="Times New Roman" w:hint="eastAsia"/>
          <w:sz w:val="32"/>
          <w:szCs w:val="32"/>
        </w:rPr>
        <w:t>0%，市委市政府交办事项按期办理率为</w:t>
      </w:r>
      <w:r w:rsidR="00E43655" w:rsidRPr="00AE0794">
        <w:rPr>
          <w:rFonts w:ascii="仿宋_GB2312" w:eastAsia="仿宋_GB2312" w:hAnsi="Times New Roman" w:cs="Times New Roman" w:hint="eastAsia"/>
          <w:sz w:val="32"/>
          <w:szCs w:val="32"/>
        </w:rPr>
        <w:t>100</w:t>
      </w:r>
      <w:r w:rsidRPr="00AE0794">
        <w:rPr>
          <w:rFonts w:ascii="仿宋_GB2312" w:eastAsia="仿宋_GB2312" w:hAnsi="Times New Roman" w:cs="Times New Roman" w:hint="eastAsia"/>
          <w:sz w:val="32"/>
          <w:szCs w:val="32"/>
        </w:rPr>
        <w:t>%。</w:t>
      </w:r>
    </w:p>
    <w:p w:rsidR="009660CD" w:rsidRPr="00AE0794" w:rsidRDefault="00A41C90" w:rsidP="00E43655">
      <w:pPr>
        <w:spacing w:line="580" w:lineRule="exact"/>
        <w:ind w:firstLineChars="200" w:firstLine="640"/>
        <w:rPr>
          <w:rFonts w:ascii="仿宋_GB2312" w:eastAsia="仿宋_GB2312"/>
          <w:bCs/>
          <w:color w:val="FF0000"/>
          <w:kern w:val="0"/>
          <w:szCs w:val="32"/>
        </w:rPr>
      </w:pPr>
      <w:r w:rsidRPr="00AE0794">
        <w:rPr>
          <w:rFonts w:ascii="仿宋_GB2312" w:eastAsia="仿宋_GB2312" w:hAnsi="Times New Roman" w:cs="Times New Roman" w:hint="eastAsia"/>
          <w:sz w:val="32"/>
          <w:szCs w:val="32"/>
        </w:rPr>
        <w:t>（4）社会公众、其他部门（单位）或服务对象满意度：指标满分10分，评价得分10分。</w:t>
      </w:r>
    </w:p>
    <w:p w:rsidR="00EE0469" w:rsidRDefault="00EE0469" w:rsidP="00EE0469">
      <w:pPr>
        <w:pStyle w:val="1"/>
        <w:numPr>
          <w:ilvl w:val="0"/>
          <w:numId w:val="0"/>
        </w:numPr>
        <w:spacing w:line="520" w:lineRule="exact"/>
        <w:ind w:left="640"/>
        <w:rPr>
          <w:lang w:val="en-US"/>
        </w:rPr>
      </w:pPr>
      <w:r>
        <w:rPr>
          <w:rFonts w:hint="eastAsia"/>
          <w:lang w:val="en-US"/>
        </w:rPr>
        <w:t>四、部门主要绩效</w:t>
      </w:r>
    </w:p>
    <w:p w:rsidR="00E93749" w:rsidRPr="00E43655" w:rsidRDefault="00E93749" w:rsidP="00E93749">
      <w:pPr>
        <w:spacing w:line="560" w:lineRule="exact"/>
        <w:ind w:firstLine="720"/>
        <w:rPr>
          <w:rFonts w:ascii="仿宋_GB2312" w:eastAsia="仿宋_GB2312" w:hAnsi="黑体"/>
          <w:sz w:val="32"/>
          <w:szCs w:val="32"/>
        </w:rPr>
      </w:pPr>
      <w:r w:rsidRPr="00B4375D">
        <w:rPr>
          <w:rFonts w:ascii="仿宋_GB2312" w:eastAsia="仿宋_GB2312" w:hAnsi="黑体" w:hint="eastAsia"/>
          <w:sz w:val="32"/>
          <w:szCs w:val="32"/>
        </w:rPr>
        <w:t>2020年，</w:t>
      </w:r>
      <w:r>
        <w:rPr>
          <w:rFonts w:ascii="仿宋_GB2312" w:eastAsia="仿宋_GB2312" w:hint="eastAsia"/>
          <w:sz w:val="32"/>
          <w:szCs w:val="32"/>
        </w:rPr>
        <w:t>市文化和旅游局在市委市政府的坚强领导下，</w:t>
      </w:r>
      <w:r>
        <w:rPr>
          <w:rFonts w:ascii="仿宋_GB2312" w:eastAsia="仿宋_GB2312" w:hAnsi="仿宋_GB2312" w:cs="仿宋_GB2312" w:hint="eastAsia"/>
          <w:sz w:val="32"/>
          <w:szCs w:val="32"/>
        </w:rPr>
        <w:t>面对</w:t>
      </w:r>
      <w:r w:rsidRPr="00E43655">
        <w:rPr>
          <w:rFonts w:ascii="仿宋_GB2312" w:eastAsia="仿宋_GB2312" w:hAnsi="仿宋_GB2312" w:cs="仿宋_GB2312" w:hint="eastAsia"/>
          <w:sz w:val="32"/>
          <w:szCs w:val="32"/>
        </w:rPr>
        <w:t>“跨省团队游下半年才放开，出入境游至今无法启动，景区、影剧院、文娱场所仍限流75%”的困难局面，</w:t>
      </w:r>
      <w:r w:rsidRPr="00E43655">
        <w:rPr>
          <w:rFonts w:ascii="仿宋_GB2312" w:eastAsia="仿宋_GB2312" w:hint="eastAsia"/>
          <w:sz w:val="32"/>
          <w:szCs w:val="32"/>
        </w:rPr>
        <w:t>统筹疫情防控和经济社会发展，聚焦温度、速度、广度、深度和力度，多措并举推动全市文化旅游业复苏振兴。</w:t>
      </w:r>
    </w:p>
    <w:p w:rsidR="00E93749" w:rsidRPr="00E43655" w:rsidRDefault="00E93749" w:rsidP="00E93749">
      <w:pPr>
        <w:spacing w:line="560" w:lineRule="exact"/>
        <w:ind w:firstLine="720"/>
        <w:rPr>
          <w:rFonts w:ascii="楷体" w:eastAsia="楷体" w:hAnsi="楷体"/>
          <w:sz w:val="32"/>
          <w:szCs w:val="32"/>
        </w:rPr>
      </w:pPr>
      <w:r w:rsidRPr="00E43655">
        <w:rPr>
          <w:rFonts w:ascii="楷体" w:eastAsia="楷体" w:hAnsi="楷体" w:hint="eastAsia"/>
          <w:sz w:val="32"/>
          <w:szCs w:val="32"/>
        </w:rPr>
        <w:t>（一）聚焦“服务温度”，优化文旅供给“沉下去”</w:t>
      </w:r>
    </w:p>
    <w:p w:rsidR="00E93749" w:rsidRPr="00AE0794" w:rsidRDefault="00E93749" w:rsidP="00E93749">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紧紧围绕广大市民对美好生活的向往，推动公共文化服务重心下移。</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着眼短板抓硬件。改扩建镇（街）综合文化站20处、村（社区）文化中心121处、文化广场304处，建设朗读亭、社区书屋、智慧书亭150处，青图驿站便民阅读点50处，为924个基层文化中心增换活动器材8900件（套）。总面</w:t>
      </w:r>
      <w:r w:rsidRPr="00AE0794">
        <w:rPr>
          <w:rFonts w:ascii="仿宋_GB2312" w:eastAsia="仿宋_GB2312" w:hAnsi="黑体" w:hint="eastAsia"/>
          <w:sz w:val="32"/>
          <w:szCs w:val="32"/>
        </w:rPr>
        <w:lastRenderedPageBreak/>
        <w:t>积5</w:t>
      </w:r>
      <w:r w:rsidRPr="00AE0794">
        <w:rPr>
          <w:rFonts w:ascii="仿宋_GB2312" w:eastAsia="仿宋_GB2312" w:hAnsi="黑体"/>
          <w:sz w:val="32"/>
          <w:szCs w:val="32"/>
        </w:rPr>
        <w:t>.5</w:t>
      </w:r>
      <w:r w:rsidRPr="00AE0794">
        <w:rPr>
          <w:rFonts w:ascii="仿宋_GB2312" w:eastAsia="仿宋_GB2312" w:hAnsi="黑体" w:hint="eastAsia"/>
          <w:sz w:val="32"/>
          <w:szCs w:val="32"/>
        </w:rPr>
        <w:t>万平米的市博物馆扩建工程即将动工，市图书馆新馆初步完成选址，全国首家景区24小时书店开业。我市13处文化馆在第五次评估定级中均达到国家一级馆标准。西海岸图书馆、崂山游客中心入选国家公共文化服务机构和旅游服务机构融合试点。</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着眼效能抓活动。举办群众文化活动5万余场、全民阅读活动1500余场、公益演出200余场、美术展55场、“戏曲进乡村”4000余场，惠及群众1400余万人次，20个单位个人获评省级书香单位、书香个人，首届乡村广场舞大赛、乡村歌手大赛被列入文旅部“百姓大舞台”网络群众文化品牌活动，“艺术彩虹”文化志愿服务总团获全省最佳志愿服务组织。2</w:t>
      </w:r>
      <w:r w:rsidRPr="00AE0794">
        <w:rPr>
          <w:rFonts w:ascii="仿宋_GB2312" w:eastAsia="仿宋_GB2312" w:hAnsi="黑体"/>
          <w:sz w:val="32"/>
          <w:szCs w:val="32"/>
        </w:rPr>
        <w:t>020</w:t>
      </w:r>
      <w:r w:rsidRPr="00AE0794">
        <w:rPr>
          <w:rFonts w:ascii="仿宋_GB2312" w:eastAsia="仿宋_GB2312" w:hAnsi="黑体" w:hint="eastAsia"/>
          <w:sz w:val="32"/>
          <w:szCs w:val="32"/>
        </w:rPr>
        <w:t>年文化领域民调得分86.36分，较去年提升2.27分。</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着眼精品抓创作。组织创作抗疫主题文艺作品600余部，依托青岛风土人情创作的儿童剧《大侠慢吞吞》、吕剧《民心安处是吾乡》、柳腔《即墨大夫》《泉海谣》等作品深受好评，歌曲《红船，红船》、舞蹈《青春记忆》、戏剧《卖房》获山东省群众艺术优秀新创作品。</w:t>
      </w:r>
    </w:p>
    <w:p w:rsidR="00E93749" w:rsidRPr="00E43655" w:rsidRDefault="00E93749" w:rsidP="00E93749">
      <w:pPr>
        <w:spacing w:line="560" w:lineRule="exact"/>
        <w:ind w:firstLineChars="200" w:firstLine="640"/>
        <w:rPr>
          <w:rFonts w:ascii="楷体_GB2312" w:eastAsia="楷体_GB2312" w:hAnsi="仿宋"/>
          <w:sz w:val="32"/>
          <w:szCs w:val="32"/>
        </w:rPr>
      </w:pPr>
      <w:r w:rsidRPr="00E43655">
        <w:rPr>
          <w:rFonts w:ascii="楷体_GB2312" w:eastAsia="楷体_GB2312" w:hAnsi="黑体" w:hint="eastAsia"/>
          <w:sz w:val="32"/>
          <w:szCs w:val="32"/>
        </w:rPr>
        <w:t>（二）聚焦“产业速度”，提升发展环境“推上去”</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坚持政策推动、项目带动、消费拉动，助推文旅产业提质升级。</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坚持政策推动。出台《关于应对新冠肺炎疫情影响支持文化和旅游业发展若干政策措施》，对</w:t>
      </w:r>
      <w:r w:rsidRPr="00AE0794">
        <w:rPr>
          <w:rFonts w:ascii="仿宋_GB2312" w:eastAsia="仿宋_GB2312" w:hAnsi="黑体"/>
          <w:sz w:val="32"/>
          <w:szCs w:val="32"/>
        </w:rPr>
        <w:t>43</w:t>
      </w:r>
      <w:r w:rsidRPr="00AE0794">
        <w:rPr>
          <w:rFonts w:ascii="仿宋_GB2312" w:eastAsia="仿宋_GB2312" w:hAnsi="黑体" w:hint="eastAsia"/>
          <w:sz w:val="32"/>
          <w:szCs w:val="32"/>
        </w:rPr>
        <w:t>家企业提供贷款贴息535万元，给予</w:t>
      </w:r>
      <w:r w:rsidRPr="00AE0794">
        <w:rPr>
          <w:rFonts w:ascii="仿宋_GB2312" w:eastAsia="仿宋_GB2312" w:hAnsi="黑体"/>
          <w:sz w:val="32"/>
          <w:szCs w:val="32"/>
        </w:rPr>
        <w:t>45</w:t>
      </w:r>
      <w:r w:rsidRPr="00AE0794">
        <w:rPr>
          <w:rFonts w:ascii="仿宋_GB2312" w:eastAsia="仿宋_GB2312" w:hAnsi="黑体" w:hint="eastAsia"/>
          <w:sz w:val="32"/>
          <w:szCs w:val="32"/>
        </w:rPr>
        <w:t>个旅游新业态项目扶持奖励7</w:t>
      </w:r>
      <w:r w:rsidRPr="00AE0794">
        <w:rPr>
          <w:rFonts w:ascii="仿宋_GB2312" w:eastAsia="仿宋_GB2312" w:hAnsi="黑体"/>
          <w:sz w:val="32"/>
          <w:szCs w:val="32"/>
        </w:rPr>
        <w:t>10</w:t>
      </w:r>
      <w:r w:rsidRPr="00AE0794">
        <w:rPr>
          <w:rFonts w:ascii="仿宋_GB2312" w:eastAsia="仿宋_GB2312" w:hAnsi="黑体" w:hint="eastAsia"/>
          <w:sz w:val="32"/>
          <w:szCs w:val="32"/>
        </w:rPr>
        <w:t>万</w:t>
      </w:r>
      <w:r w:rsidRPr="00AE0794">
        <w:rPr>
          <w:rFonts w:ascii="仿宋_GB2312" w:eastAsia="仿宋_GB2312" w:hAnsi="黑体" w:hint="eastAsia"/>
          <w:sz w:val="32"/>
          <w:szCs w:val="32"/>
        </w:rPr>
        <w:lastRenderedPageBreak/>
        <w:t>元。制定实施《海洋旅游高质量发展总体方案》，加快海洋旅游转型升级。出台影视产业发展三年行动计划、高新视频实验园区建设方案，设立2亿元主旋律文化产业基金，新增影视企业230余家，全国首个UHD+5G直播室建成使用。</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 xml:space="preserve">    坚持项目带动。全市单体投资5000万元以上的在建、待建、在谈重点文旅项目128个，总投资额4</w:t>
      </w:r>
      <w:r w:rsidRPr="00AE0794">
        <w:rPr>
          <w:rFonts w:ascii="仿宋_GB2312" w:eastAsia="仿宋_GB2312" w:hAnsi="黑体"/>
          <w:sz w:val="32"/>
          <w:szCs w:val="32"/>
        </w:rPr>
        <w:t>00</w:t>
      </w:r>
      <w:r w:rsidRPr="00AE0794">
        <w:rPr>
          <w:rFonts w:ascii="仿宋_GB2312" w:eastAsia="仿宋_GB2312" w:hAnsi="黑体" w:hint="eastAsia"/>
          <w:sz w:val="32"/>
          <w:szCs w:val="32"/>
        </w:rPr>
        <w:t>0亿元，恒大水世界等7个市级重点项目开工。组织平度蓝树谷、青岛奥帆中心创建4A、5A级景区并通过省级景观质量评审。推荐申报五星级饭店1家、四星级11家。明月海藻等2个项目入选省工业旅游示范基地，玫瑰圣地入选省中医药健康旅游示范基地，我局获省研学旅行创新线路设计大赛优秀组织奖。</w:t>
      </w:r>
    </w:p>
    <w:p w:rsidR="00E93749" w:rsidRPr="00E43655" w:rsidRDefault="00E93749" w:rsidP="00AE0794">
      <w:pPr>
        <w:spacing w:line="560" w:lineRule="exact"/>
        <w:ind w:firstLine="720"/>
        <w:rPr>
          <w:rFonts w:ascii="黑体" w:eastAsia="黑体" w:hAnsi="黑体"/>
          <w:sz w:val="32"/>
          <w:szCs w:val="32"/>
        </w:rPr>
      </w:pPr>
      <w:r w:rsidRPr="00AE0794">
        <w:rPr>
          <w:rFonts w:ascii="仿宋_GB2312" w:eastAsia="仿宋_GB2312" w:hAnsi="黑体" w:hint="eastAsia"/>
          <w:sz w:val="32"/>
          <w:szCs w:val="32"/>
        </w:rPr>
        <w:t>坚持消费拉动。举办文化和旅游消费促进活动，发放消费补贴</w:t>
      </w:r>
      <w:r w:rsidRPr="00AE0794">
        <w:rPr>
          <w:rFonts w:ascii="仿宋_GB2312" w:eastAsia="仿宋_GB2312" w:hAnsi="黑体"/>
          <w:sz w:val="32"/>
          <w:szCs w:val="32"/>
        </w:rPr>
        <w:t>3114</w:t>
      </w:r>
      <w:r w:rsidRPr="00AE0794">
        <w:rPr>
          <w:rFonts w:ascii="仿宋_GB2312" w:eastAsia="仿宋_GB2312" w:hAnsi="黑体" w:hint="eastAsia"/>
          <w:sz w:val="32"/>
          <w:szCs w:val="32"/>
        </w:rPr>
        <w:t>万元，吸引1</w:t>
      </w:r>
      <w:r w:rsidRPr="00AE0794">
        <w:rPr>
          <w:rFonts w:ascii="仿宋_GB2312" w:eastAsia="仿宋_GB2312" w:hAnsi="黑体"/>
          <w:sz w:val="32"/>
          <w:szCs w:val="32"/>
        </w:rPr>
        <w:t>25</w:t>
      </w:r>
      <w:r w:rsidRPr="00AE0794">
        <w:rPr>
          <w:rFonts w:ascii="仿宋_GB2312" w:eastAsia="仿宋_GB2312" w:hAnsi="黑体" w:hint="eastAsia"/>
          <w:sz w:val="32"/>
          <w:szCs w:val="32"/>
        </w:rPr>
        <w:t>万市民参与，拉动直接消费1</w:t>
      </w:r>
      <w:r w:rsidRPr="00AE0794">
        <w:rPr>
          <w:rFonts w:ascii="仿宋_GB2312" w:eastAsia="仿宋_GB2312" w:hAnsi="黑体"/>
          <w:sz w:val="32"/>
          <w:szCs w:val="32"/>
        </w:rPr>
        <w:t>.65</w:t>
      </w:r>
      <w:r w:rsidRPr="00AE0794">
        <w:rPr>
          <w:rFonts w:ascii="仿宋_GB2312" w:eastAsia="仿宋_GB2312" w:hAnsi="黑体" w:hint="eastAsia"/>
          <w:sz w:val="32"/>
          <w:szCs w:val="32"/>
        </w:rPr>
        <w:t>亿元，间接消费15.89亿元，财政资金拉动比达1:</w:t>
      </w:r>
      <w:r w:rsidRPr="00AE0794">
        <w:rPr>
          <w:rFonts w:ascii="仿宋_GB2312" w:eastAsia="仿宋_GB2312" w:hAnsi="黑体"/>
          <w:sz w:val="32"/>
          <w:szCs w:val="32"/>
        </w:rPr>
        <w:t>19</w:t>
      </w:r>
      <w:r w:rsidRPr="00AE0794">
        <w:rPr>
          <w:rFonts w:ascii="仿宋_GB2312" w:eastAsia="仿宋_GB2312" w:hAnsi="黑体" w:hint="eastAsia"/>
          <w:sz w:val="32"/>
          <w:szCs w:val="32"/>
        </w:rPr>
        <w:t>。我</w:t>
      </w:r>
      <w:r w:rsidRPr="00E43655">
        <w:rPr>
          <w:rFonts w:ascii="仿宋_GB2312" w:eastAsia="仿宋_GB2312" w:hAnsi="黑体" w:hint="eastAsia"/>
          <w:sz w:val="32"/>
          <w:szCs w:val="32"/>
        </w:rPr>
        <w:t>市在全国文旅消费工作现场会上作典型发言。</w:t>
      </w:r>
      <w:r w:rsidRPr="00AE0794">
        <w:rPr>
          <w:rFonts w:ascii="仿宋_GB2312" w:eastAsia="仿宋_GB2312" w:hAnsi="黑体" w:hint="eastAsia"/>
          <w:sz w:val="32"/>
          <w:szCs w:val="32"/>
        </w:rPr>
        <w:t>提振夜间文旅消费，推出8大夜间旅游产品、4条主题线路，制定音乐酒吧管理扶持办法，举办全市音乐吧乐队大赛，全市有驻唱的酒吧（乐吧）达到110余家。我市入选“2020中国夜间经济二十强城市”</w:t>
      </w:r>
      <w:r w:rsidRPr="00E43655">
        <w:rPr>
          <w:rFonts w:ascii="仿宋_GB2312" w:eastAsia="仿宋_GB2312" w:hAnsi="仿宋" w:hint="eastAsia"/>
          <w:sz w:val="32"/>
          <w:szCs w:val="32"/>
        </w:rPr>
        <w:t>。</w:t>
      </w:r>
    </w:p>
    <w:p w:rsidR="00E93749" w:rsidRPr="00E43655" w:rsidRDefault="00E93749" w:rsidP="00E93749">
      <w:pPr>
        <w:spacing w:line="560" w:lineRule="exact"/>
        <w:ind w:firstLine="720"/>
        <w:rPr>
          <w:rFonts w:ascii="楷体_GB2312" w:eastAsia="楷体_GB2312" w:hAnsi="黑体"/>
          <w:sz w:val="32"/>
          <w:szCs w:val="32"/>
        </w:rPr>
      </w:pPr>
      <w:r w:rsidRPr="00E43655">
        <w:rPr>
          <w:rFonts w:ascii="楷体_GB2312" w:eastAsia="楷体_GB2312" w:hAnsi="黑体" w:hint="eastAsia"/>
          <w:sz w:val="32"/>
          <w:szCs w:val="32"/>
        </w:rPr>
        <w:t>（三）聚焦“营销广度”，加强城市推介“走出去”</w:t>
      </w:r>
    </w:p>
    <w:p w:rsidR="00E93749" w:rsidRPr="00AE0794" w:rsidRDefault="00E93749" w:rsidP="00E93749">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区域协作、景区免票、节会活动多措并举，提升城市综合影响力。</w:t>
      </w:r>
    </w:p>
    <w:p w:rsidR="00E93749" w:rsidRPr="00AE0794" w:rsidRDefault="00E93749" w:rsidP="00E93749">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以文旅联盟推进区域协作。牵头成立胶东五市文旅合作</w:t>
      </w:r>
      <w:r w:rsidRPr="00AE0794">
        <w:rPr>
          <w:rFonts w:ascii="仿宋_GB2312" w:eastAsia="仿宋_GB2312" w:hAnsi="黑体" w:hint="eastAsia"/>
          <w:sz w:val="32"/>
          <w:szCs w:val="32"/>
        </w:rPr>
        <w:lastRenderedPageBreak/>
        <w:t>联盟，推进5大领域27项合作；组织全国旅行商和媒体开展“山海深呼吸，胶东健康游”五市线路采风，举办首届胶东海洋童玩季，吸引近万名游客自驾游胶东。举办首届成都青岛啤酒节，与成都、林芝等地文旅部门签订合作协议，实现线路互推、游客互送。</w:t>
      </w:r>
    </w:p>
    <w:p w:rsidR="00E93749" w:rsidRPr="00AE0794" w:rsidRDefault="00E93749" w:rsidP="00E93749">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以景区免票实现游客引流。组织12家国有A级景区免门票开放，共接待游客300万人次，环比增长3</w:t>
      </w:r>
      <w:r w:rsidRPr="00AE0794">
        <w:rPr>
          <w:rFonts w:ascii="仿宋_GB2312" w:eastAsia="仿宋_GB2312" w:hAnsi="黑体"/>
          <w:sz w:val="32"/>
          <w:szCs w:val="32"/>
        </w:rPr>
        <w:t>7%</w:t>
      </w:r>
      <w:r w:rsidRPr="00AE0794">
        <w:rPr>
          <w:rFonts w:ascii="仿宋_GB2312" w:eastAsia="仿宋_GB2312" w:hAnsi="黑体" w:hint="eastAsia"/>
          <w:sz w:val="32"/>
          <w:szCs w:val="32"/>
        </w:rPr>
        <w:t>，其中外地游客占8</w:t>
      </w:r>
      <w:r w:rsidRPr="00AE0794">
        <w:rPr>
          <w:rFonts w:ascii="仿宋_GB2312" w:eastAsia="仿宋_GB2312" w:hAnsi="黑体"/>
          <w:sz w:val="32"/>
          <w:szCs w:val="32"/>
        </w:rPr>
        <w:t>3.3%</w:t>
      </w:r>
      <w:r w:rsidRPr="00AE0794">
        <w:rPr>
          <w:rFonts w:ascii="仿宋_GB2312" w:eastAsia="仿宋_GB2312" w:hAnsi="黑体" w:hint="eastAsia"/>
          <w:sz w:val="32"/>
          <w:szCs w:val="32"/>
        </w:rPr>
        <w:t>，有效拉动吃住行游购娱全行业复苏。国庆期间住宿业、旅游业消费复苏率在副省级城市中分列第2、4位。</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以节会活动提升城市影响。策划“国际友人@ Qingdao”活动，17个国家的68名国际友人通过Facebook等社交平台推介青岛，覆盖1.5亿人次。先后举办国际邮轮峰会、全国工艺品交易会、国际影视设计周、谭盾音乐周、国际吉他艺术节、中国好声音山东总决赛、街头音浪网络真人秀、马术与音乐灯光秀等活动，有效提升岛城影响力和关注度。组建青岛文旅自媒体联盟，邀请黄晓明等6位青岛籍明星为家乡免费代言，我局官方微博位居全国50个重点旅游城市文旅政务微博影响力首位。</w:t>
      </w:r>
    </w:p>
    <w:p w:rsidR="00E93749" w:rsidRPr="00E93749" w:rsidRDefault="00E93749" w:rsidP="00E93749">
      <w:pPr>
        <w:spacing w:line="560" w:lineRule="exact"/>
        <w:ind w:firstLine="720"/>
        <w:rPr>
          <w:rFonts w:ascii="楷体_GB2312" w:eastAsia="楷体_GB2312" w:hAnsi="黑体"/>
          <w:sz w:val="32"/>
          <w:szCs w:val="32"/>
        </w:rPr>
      </w:pPr>
      <w:r w:rsidRPr="00E93749">
        <w:rPr>
          <w:rFonts w:ascii="楷体_GB2312" w:eastAsia="楷体_GB2312" w:hAnsi="黑体" w:hint="eastAsia"/>
          <w:sz w:val="32"/>
          <w:szCs w:val="32"/>
        </w:rPr>
        <w:t>（四）聚焦“传承深度”，推动优秀文化“传下去”</w:t>
      </w:r>
    </w:p>
    <w:p w:rsidR="00E93749" w:rsidRPr="00AE0794" w:rsidRDefault="00E93749" w:rsidP="00E93749">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加大文化遗产保护力度，传承历史文脉，镌刻城市记忆。</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文物保护利用稳步推进。完成文物保护条例立法调研。老城区申遗可行性研究通过省文物局评审。编制《青岛市革命文物保护与利用规划》，新确定革命文物22处，累计达</w:t>
      </w:r>
      <w:r w:rsidRPr="00AE0794">
        <w:rPr>
          <w:rFonts w:ascii="仿宋_GB2312" w:eastAsia="仿宋_GB2312" w:hAnsi="黑体" w:hint="eastAsia"/>
          <w:sz w:val="32"/>
          <w:szCs w:val="32"/>
        </w:rPr>
        <w:lastRenderedPageBreak/>
        <w:t>56处。完成胶州湾外围海域水下遗产考古调查，发现一战时期军舰遗址，发掘文物100余件。举办“丈量青岛—走近老建筑”网络直播5期，117万人次在线观看。</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博物馆之城建设深入开展。经市政府授权出台《关于进一步鼓励社会力量兴建博物馆的实施意见》，全市博物馆达106家，“博物馆之城”建设获省政府文化创新奖。2项展览入选国家文物局“培育社会主义核心价值观”主题展，1项展览获省革命文物保护利用示范十佳案例。</w:t>
      </w:r>
    </w:p>
    <w:p w:rsidR="00E93749" w:rsidRPr="00AE0794" w:rsidRDefault="00E93749" w:rsidP="00AE0794">
      <w:pPr>
        <w:spacing w:line="560" w:lineRule="exact"/>
        <w:ind w:firstLine="720"/>
        <w:rPr>
          <w:rFonts w:ascii="仿宋_GB2312" w:eastAsia="仿宋_GB2312" w:hAnsi="黑体"/>
          <w:sz w:val="32"/>
          <w:szCs w:val="32"/>
        </w:rPr>
      </w:pPr>
      <w:r w:rsidRPr="00AE0794">
        <w:rPr>
          <w:rFonts w:ascii="仿宋_GB2312" w:eastAsia="仿宋_GB2312" w:hAnsi="黑体" w:hint="eastAsia"/>
          <w:sz w:val="32"/>
          <w:szCs w:val="32"/>
        </w:rPr>
        <w:t>非遗传承保护走向深入。认定市级非遗传承人31名，在香港路小学建立“国家级非遗项目胶东大鼓传习基地”，为4个项目落实扶持资金130万元。《胶州秧歌、三铺龙拳进校园》获全国非遗进校园创新案例第一名，1个项目获评省非遗保护十大亮点，联合市纪委监委制作的系列微电影《非遗里的清廉》获全市社会主义核心价值观主题微电影一等奖。我市入选全国首批“非遗在社区”试点城市。</w:t>
      </w:r>
    </w:p>
    <w:p w:rsidR="00E93749" w:rsidRPr="00E93749" w:rsidRDefault="00E93749" w:rsidP="00E93749">
      <w:pPr>
        <w:spacing w:line="560" w:lineRule="exact"/>
        <w:ind w:firstLine="720"/>
        <w:rPr>
          <w:rFonts w:ascii="楷体_GB2312" w:eastAsia="楷体_GB2312" w:hAnsi="黑体"/>
          <w:sz w:val="32"/>
          <w:szCs w:val="32"/>
        </w:rPr>
      </w:pPr>
      <w:r w:rsidRPr="00E93749">
        <w:rPr>
          <w:rFonts w:ascii="楷体_GB2312" w:eastAsia="楷体_GB2312" w:hAnsi="黑体" w:hint="eastAsia"/>
          <w:sz w:val="32"/>
          <w:szCs w:val="32"/>
        </w:rPr>
        <w:t>（五）聚焦“监管力度”，强化市场管理“抓上去”</w:t>
      </w:r>
    </w:p>
    <w:p w:rsidR="00E93749" w:rsidRDefault="00E93749" w:rsidP="00E93749">
      <w:pPr>
        <w:spacing w:line="560" w:lineRule="exact"/>
        <w:ind w:firstLineChars="200" w:firstLine="640"/>
        <w:rPr>
          <w:rFonts w:ascii="仿宋_GB2312" w:eastAsia="仿宋_GB2312" w:hAnsi="E-BZ"/>
          <w:color w:val="000000"/>
          <w:sz w:val="32"/>
          <w:szCs w:val="32"/>
        </w:rPr>
      </w:pPr>
      <w:r>
        <w:rPr>
          <w:rFonts w:ascii="仿宋_GB2312" w:eastAsia="仿宋_GB2312" w:hAnsi="E-BZ" w:hint="eastAsia"/>
          <w:color w:val="000000"/>
          <w:sz w:val="32"/>
          <w:szCs w:val="32"/>
        </w:rPr>
        <w:t>针对群众反映强烈的问题，不断加大市场管理力度。</w:t>
      </w:r>
    </w:p>
    <w:p w:rsidR="00E93749" w:rsidRDefault="00E93749" w:rsidP="00E93749">
      <w:pPr>
        <w:spacing w:line="560" w:lineRule="exact"/>
        <w:ind w:firstLineChars="200" w:firstLine="640"/>
        <w:rPr>
          <w:rFonts w:ascii="仿宋_GB2312" w:eastAsia="仿宋_GB2312"/>
          <w:sz w:val="32"/>
          <w:szCs w:val="32"/>
        </w:rPr>
      </w:pPr>
      <w:r>
        <w:rPr>
          <w:rFonts w:ascii="楷体_GB2312" w:eastAsia="楷体_GB2312" w:hint="eastAsia"/>
          <w:sz w:val="32"/>
          <w:szCs w:val="32"/>
        </w:rPr>
        <w:t>强化</w:t>
      </w:r>
      <w:r w:rsidRPr="003D63AA">
        <w:rPr>
          <w:rFonts w:ascii="楷体_GB2312" w:eastAsia="楷体_GB2312" w:hint="eastAsia"/>
          <w:sz w:val="32"/>
          <w:szCs w:val="32"/>
        </w:rPr>
        <w:t>旅游市场整治。</w:t>
      </w:r>
      <w:r>
        <w:rPr>
          <w:rFonts w:ascii="仿宋_GB2312" w:eastAsia="仿宋_GB2312" w:hAnsi="E-BZ" w:hint="eastAsia"/>
          <w:color w:val="000000"/>
          <w:sz w:val="32"/>
          <w:szCs w:val="32"/>
        </w:rPr>
        <w:t>制定实施《旅游管理服务提升工作方案》，</w:t>
      </w:r>
      <w:r>
        <w:rPr>
          <w:rFonts w:ascii="仿宋_GB2312" w:eastAsia="仿宋_GB2312" w:hAnsi="仿宋_GB2312" w:cs="仿宋_GB2312" w:hint="eastAsia"/>
          <w:color w:val="000000"/>
          <w:kern w:val="0"/>
          <w:sz w:val="32"/>
          <w:szCs w:val="32"/>
        </w:rPr>
        <w:t>编撰青岛导游词汇编，</w:t>
      </w:r>
      <w:r>
        <w:rPr>
          <w:rFonts w:ascii="仿宋_GB2312" w:eastAsia="仿宋_GB2312" w:hAnsi="黑体" w:hint="eastAsia"/>
          <w:sz w:val="32"/>
          <w:szCs w:val="32"/>
        </w:rPr>
        <w:t>开展导游培训1</w:t>
      </w:r>
      <w:r>
        <w:rPr>
          <w:rFonts w:ascii="仿宋_GB2312" w:eastAsia="仿宋_GB2312" w:hAnsi="黑体"/>
          <w:sz w:val="32"/>
          <w:szCs w:val="32"/>
        </w:rPr>
        <w:t>2</w:t>
      </w:r>
      <w:r>
        <w:rPr>
          <w:rFonts w:ascii="仿宋_GB2312" w:eastAsia="仿宋_GB2312" w:hAnsi="黑体" w:hint="eastAsia"/>
          <w:sz w:val="32"/>
          <w:szCs w:val="32"/>
        </w:rPr>
        <w:t>期</w:t>
      </w:r>
      <w:r>
        <w:rPr>
          <w:rFonts w:ascii="仿宋_GB2312" w:eastAsia="仿宋_GB2312" w:hint="eastAsia"/>
          <w:sz w:val="32"/>
          <w:szCs w:val="32"/>
        </w:rPr>
        <w:t>，</w:t>
      </w:r>
      <w:r>
        <w:rPr>
          <w:rFonts w:ascii="仿宋_GB2312" w:eastAsia="仿宋_GB2312" w:hAnsi="仿宋_GB2312" w:cs="仿宋_GB2312" w:hint="eastAsia"/>
          <w:color w:val="000000"/>
          <w:kern w:val="0"/>
          <w:sz w:val="32"/>
          <w:szCs w:val="32"/>
        </w:rPr>
        <w:t>检查复核A级景区</w:t>
      </w:r>
      <w:r>
        <w:rPr>
          <w:rFonts w:ascii="仿宋_GB2312" w:eastAsia="仿宋_GB2312" w:hint="eastAsia"/>
          <w:sz w:val="32"/>
          <w:szCs w:val="32"/>
        </w:rPr>
        <w:t>1</w:t>
      </w:r>
      <w:r>
        <w:rPr>
          <w:rFonts w:ascii="仿宋_GB2312" w:eastAsia="仿宋_GB2312"/>
          <w:sz w:val="32"/>
          <w:szCs w:val="32"/>
        </w:rPr>
        <w:t>10</w:t>
      </w:r>
      <w:r>
        <w:rPr>
          <w:rFonts w:ascii="仿宋_GB2312" w:eastAsia="仿宋_GB2312" w:hint="eastAsia"/>
          <w:sz w:val="32"/>
          <w:szCs w:val="32"/>
        </w:rPr>
        <w:t>家</w:t>
      </w:r>
      <w:r>
        <w:rPr>
          <w:rFonts w:ascii="仿宋_GB2312" w:eastAsia="仿宋_GB2312" w:hAnsi="仿宋_GB2312" w:cs="仿宋_GB2312" w:hint="eastAsia"/>
          <w:color w:val="000000"/>
          <w:kern w:val="0"/>
          <w:sz w:val="32"/>
          <w:szCs w:val="32"/>
        </w:rPr>
        <w:t>，</w:t>
      </w:r>
      <w:r>
        <w:rPr>
          <w:rFonts w:ascii="仿宋_GB2312" w:eastAsia="仿宋_GB2312" w:hint="eastAsia"/>
          <w:sz w:val="32"/>
          <w:szCs w:val="32"/>
        </w:rPr>
        <w:t>清理整顿不合格旅游咨询中心4</w:t>
      </w:r>
      <w:r>
        <w:rPr>
          <w:rFonts w:ascii="仿宋_GB2312" w:eastAsia="仿宋_GB2312"/>
          <w:sz w:val="32"/>
          <w:szCs w:val="32"/>
        </w:rPr>
        <w:t>3</w:t>
      </w:r>
      <w:r>
        <w:rPr>
          <w:rFonts w:ascii="仿宋_GB2312" w:eastAsia="仿宋_GB2312" w:hint="eastAsia"/>
          <w:sz w:val="32"/>
          <w:szCs w:val="32"/>
        </w:rPr>
        <w:t>处</w:t>
      </w:r>
      <w:r>
        <w:rPr>
          <w:rFonts w:ascii="仿宋_GB2312" w:eastAsia="仿宋_GB2312" w:hAnsi="黑体" w:hint="eastAsia"/>
          <w:sz w:val="32"/>
          <w:szCs w:val="32"/>
        </w:rPr>
        <w:t>，</w:t>
      </w:r>
      <w:r>
        <w:rPr>
          <w:rFonts w:ascii="仿宋_GB2312" w:eastAsia="仿宋_GB2312" w:hint="eastAsia"/>
          <w:sz w:val="32"/>
          <w:szCs w:val="32"/>
        </w:rPr>
        <w:t>完成</w:t>
      </w:r>
      <w:r w:rsidRPr="004A6AE2">
        <w:rPr>
          <w:rFonts w:ascii="仿宋_GB2312" w:eastAsia="仿宋_GB2312" w:hint="eastAsia"/>
          <w:sz w:val="32"/>
          <w:szCs w:val="32"/>
        </w:rPr>
        <w:t>旅游厕所等级评定</w:t>
      </w:r>
      <w:r>
        <w:rPr>
          <w:rFonts w:ascii="仿宋_GB2312" w:eastAsia="仿宋_GB2312" w:hint="eastAsia"/>
          <w:sz w:val="32"/>
          <w:szCs w:val="32"/>
        </w:rPr>
        <w:t>124家。</w:t>
      </w:r>
    </w:p>
    <w:p w:rsidR="00E93749" w:rsidRDefault="00E93749" w:rsidP="00E93749">
      <w:pPr>
        <w:spacing w:line="560" w:lineRule="exact"/>
        <w:ind w:firstLineChars="200" w:firstLine="640"/>
        <w:rPr>
          <w:rFonts w:ascii="仿宋_GB2312" w:eastAsia="仿宋_GB2312"/>
          <w:sz w:val="32"/>
          <w:szCs w:val="32"/>
        </w:rPr>
      </w:pPr>
      <w:r>
        <w:rPr>
          <w:rFonts w:ascii="楷体_GB2312" w:eastAsia="楷体_GB2312" w:hint="eastAsia"/>
          <w:sz w:val="32"/>
          <w:szCs w:val="32"/>
        </w:rPr>
        <w:t>强化</w:t>
      </w:r>
      <w:r w:rsidRPr="003D63AA">
        <w:rPr>
          <w:rFonts w:ascii="楷体_GB2312" w:eastAsia="楷体_GB2312" w:hint="eastAsia"/>
          <w:sz w:val="32"/>
          <w:szCs w:val="32"/>
        </w:rPr>
        <w:t>文化领域管理。</w:t>
      </w:r>
      <w:r>
        <w:rPr>
          <w:rFonts w:ascii="仿宋_GB2312" w:eastAsia="仿宋_GB2312" w:hint="eastAsia"/>
          <w:sz w:val="32"/>
          <w:szCs w:val="32"/>
        </w:rPr>
        <w:t>组织全市文</w:t>
      </w:r>
      <w:r>
        <w:rPr>
          <w:rFonts w:ascii="仿宋_GB2312" w:eastAsia="仿宋_GB2312" w:hAnsi="宋体" w:hint="eastAsia"/>
          <w:sz w:val="32"/>
          <w:szCs w:val="32"/>
        </w:rPr>
        <w:t>娱场所换发证2</w:t>
      </w:r>
      <w:r>
        <w:rPr>
          <w:rFonts w:ascii="仿宋_GB2312" w:eastAsia="仿宋_GB2312" w:hAnsi="宋体"/>
          <w:sz w:val="32"/>
          <w:szCs w:val="32"/>
        </w:rPr>
        <w:t>08</w:t>
      </w:r>
      <w:r>
        <w:rPr>
          <w:rFonts w:ascii="仿宋_GB2312" w:eastAsia="仿宋_GB2312" w:hAnsi="宋体" w:hint="eastAsia"/>
          <w:sz w:val="32"/>
          <w:szCs w:val="32"/>
        </w:rPr>
        <w:t>家，审批演出活动92批次。深化“放管服”改革，对6个项目实施容缺审批，对47项许可下放、委托。</w:t>
      </w:r>
      <w:r>
        <w:rPr>
          <w:rFonts w:ascii="仿宋_GB2312" w:eastAsia="仿宋_GB2312" w:hint="eastAsia"/>
          <w:sz w:val="32"/>
          <w:szCs w:val="32"/>
        </w:rPr>
        <w:t>指导成立全国首</w:t>
      </w:r>
      <w:r>
        <w:rPr>
          <w:rFonts w:ascii="仿宋_GB2312" w:eastAsia="仿宋_GB2312" w:hint="eastAsia"/>
          <w:sz w:val="32"/>
          <w:szCs w:val="32"/>
        </w:rPr>
        <w:lastRenderedPageBreak/>
        <w:t>家地方演出行业协会网络表演分会；</w:t>
      </w:r>
      <w:r w:rsidRPr="008F55FE">
        <w:rPr>
          <w:rFonts w:ascii="仿宋_GB2312" w:eastAsia="仿宋_GB2312" w:hint="eastAsia"/>
          <w:sz w:val="32"/>
          <w:szCs w:val="32"/>
        </w:rPr>
        <w:t>7家单位被评为省版权保护示范单位，列全省首位。</w:t>
      </w:r>
      <w:r w:rsidRPr="005C7846">
        <w:rPr>
          <w:rFonts w:ascii="仿宋_GB2312" w:eastAsia="仿宋_GB2312" w:hAnsi="仿宋" w:hint="eastAsia"/>
          <w:sz w:val="32"/>
          <w:szCs w:val="32"/>
        </w:rPr>
        <w:t>组织参加全省广电技术</w:t>
      </w:r>
      <w:r w:rsidRPr="005C7846">
        <w:rPr>
          <w:rFonts w:ascii="仿宋_GB2312" w:eastAsia="仿宋_GB2312" w:hAnsi="仿宋"/>
          <w:sz w:val="32"/>
          <w:szCs w:val="32"/>
        </w:rPr>
        <w:t>能手</w:t>
      </w:r>
      <w:r w:rsidRPr="005C7846">
        <w:rPr>
          <w:rFonts w:ascii="仿宋_GB2312" w:eastAsia="仿宋_GB2312" w:hAnsi="仿宋" w:hint="eastAsia"/>
          <w:sz w:val="32"/>
          <w:szCs w:val="32"/>
        </w:rPr>
        <w:t>竞赛，4人获得二等</w:t>
      </w:r>
      <w:r w:rsidRPr="005C7846">
        <w:rPr>
          <w:rFonts w:ascii="仿宋_GB2312" w:eastAsia="仿宋_GB2312" w:hAnsi="仿宋"/>
          <w:sz w:val="32"/>
          <w:szCs w:val="32"/>
        </w:rPr>
        <w:t>获</w:t>
      </w:r>
      <w:r w:rsidRPr="005C7846">
        <w:rPr>
          <w:rFonts w:ascii="仿宋_GB2312" w:eastAsia="仿宋_GB2312" w:hAnsi="仿宋" w:hint="eastAsia"/>
          <w:sz w:val="32"/>
          <w:szCs w:val="32"/>
        </w:rPr>
        <w:t>，1人获得三</w:t>
      </w:r>
      <w:r w:rsidRPr="005C7846">
        <w:rPr>
          <w:rFonts w:ascii="仿宋_GB2312" w:eastAsia="仿宋_GB2312" w:hAnsi="仿宋"/>
          <w:sz w:val="32"/>
          <w:szCs w:val="32"/>
        </w:rPr>
        <w:t>等奖</w:t>
      </w:r>
      <w:r>
        <w:rPr>
          <w:rFonts w:ascii="仿宋_GB2312" w:eastAsia="仿宋_GB2312" w:hAnsi="仿宋" w:hint="eastAsia"/>
          <w:sz w:val="32"/>
          <w:szCs w:val="32"/>
        </w:rPr>
        <w:t>。</w:t>
      </w:r>
    </w:p>
    <w:p w:rsidR="00E93749" w:rsidRDefault="00E93749" w:rsidP="00E93749">
      <w:pPr>
        <w:spacing w:line="560" w:lineRule="exact"/>
        <w:ind w:firstLineChars="200" w:firstLine="640"/>
        <w:rPr>
          <w:rFonts w:ascii="仿宋_GB2312" w:eastAsia="仿宋_GB2312"/>
          <w:sz w:val="32"/>
          <w:szCs w:val="32"/>
        </w:rPr>
      </w:pPr>
      <w:r>
        <w:rPr>
          <w:rFonts w:ascii="楷体_GB2312" w:eastAsia="楷体_GB2312" w:hint="eastAsia"/>
          <w:sz w:val="32"/>
          <w:szCs w:val="32"/>
        </w:rPr>
        <w:t>强化</w:t>
      </w:r>
      <w:r w:rsidRPr="003D63AA">
        <w:rPr>
          <w:rFonts w:ascii="楷体_GB2312" w:eastAsia="楷体_GB2312" w:hint="eastAsia"/>
          <w:sz w:val="32"/>
          <w:szCs w:val="32"/>
        </w:rPr>
        <w:t>违法案件查处。</w:t>
      </w:r>
      <w:r>
        <w:rPr>
          <w:rFonts w:ascii="仿宋_GB2312" w:eastAsia="仿宋_GB2312" w:hint="eastAsia"/>
          <w:sz w:val="32"/>
          <w:szCs w:val="32"/>
        </w:rPr>
        <w:t>开展文旅执法1</w:t>
      </w:r>
      <w:r>
        <w:rPr>
          <w:rFonts w:ascii="仿宋_GB2312" w:eastAsia="仿宋_GB2312"/>
          <w:sz w:val="32"/>
          <w:szCs w:val="32"/>
        </w:rPr>
        <w:t>0</w:t>
      </w:r>
      <w:r>
        <w:rPr>
          <w:rFonts w:ascii="仿宋_GB2312" w:eastAsia="仿宋_GB2312" w:hint="eastAsia"/>
          <w:sz w:val="32"/>
          <w:szCs w:val="32"/>
        </w:rPr>
        <w:t>大专项行动，查</w:t>
      </w:r>
      <w:r w:rsidRPr="00071B0C">
        <w:rPr>
          <w:rFonts w:ascii="仿宋_GB2312" w:eastAsia="仿宋_GB2312" w:hint="eastAsia"/>
          <w:sz w:val="32"/>
          <w:szCs w:val="32"/>
        </w:rPr>
        <w:t>办案件297件，</w:t>
      </w:r>
      <w:r>
        <w:rPr>
          <w:rFonts w:ascii="仿宋_GB2312" w:eastAsia="仿宋_GB2312" w:hint="eastAsia"/>
          <w:sz w:val="32"/>
          <w:szCs w:val="32"/>
        </w:rPr>
        <w:t>处理</w:t>
      </w:r>
      <w:r w:rsidRPr="00071B0C">
        <w:rPr>
          <w:rFonts w:ascii="仿宋_GB2312" w:eastAsia="仿宋_GB2312" w:hint="eastAsia"/>
          <w:sz w:val="32"/>
          <w:szCs w:val="32"/>
        </w:rPr>
        <w:t>旅游投诉2000余件</w:t>
      </w:r>
      <w:r>
        <w:rPr>
          <w:rFonts w:ascii="仿宋_GB2312" w:eastAsia="仿宋_GB2312" w:hint="eastAsia"/>
          <w:sz w:val="32"/>
          <w:szCs w:val="32"/>
        </w:rPr>
        <w:t>。</w:t>
      </w:r>
      <w:r w:rsidRPr="00F35A61">
        <w:rPr>
          <w:rFonts w:ascii="仿宋_GB2312" w:eastAsia="仿宋_GB2312" w:hint="eastAsia"/>
          <w:sz w:val="32"/>
          <w:szCs w:val="32"/>
        </w:rPr>
        <w:t>查处全省</w:t>
      </w:r>
      <w:r>
        <w:rPr>
          <w:rFonts w:ascii="仿宋_GB2312" w:eastAsia="仿宋_GB2312" w:hint="eastAsia"/>
          <w:sz w:val="32"/>
          <w:szCs w:val="32"/>
        </w:rPr>
        <w:t>首起利用</w:t>
      </w:r>
      <w:r w:rsidRPr="00F35A61">
        <w:rPr>
          <w:rFonts w:ascii="仿宋_GB2312" w:eastAsia="仿宋_GB2312" w:hint="eastAsia"/>
          <w:sz w:val="32"/>
          <w:szCs w:val="32"/>
        </w:rPr>
        <w:t>互联网传播异端宗教案件，被评为</w:t>
      </w:r>
      <w:r>
        <w:rPr>
          <w:rFonts w:ascii="仿宋_GB2312" w:eastAsia="仿宋_GB2312" w:hint="eastAsia"/>
          <w:sz w:val="32"/>
          <w:szCs w:val="32"/>
        </w:rPr>
        <w:t>全</w:t>
      </w:r>
      <w:r w:rsidRPr="00F35A61">
        <w:rPr>
          <w:rFonts w:ascii="仿宋_GB2312" w:eastAsia="仿宋_GB2312" w:hint="eastAsia"/>
          <w:sz w:val="32"/>
          <w:szCs w:val="32"/>
        </w:rPr>
        <w:t>市网络生态治理5大典型案例。</w:t>
      </w:r>
    </w:p>
    <w:p w:rsidR="00EE0469" w:rsidRDefault="00EE0469" w:rsidP="00EE0469">
      <w:pPr>
        <w:pStyle w:val="1"/>
        <w:numPr>
          <w:ilvl w:val="0"/>
          <w:numId w:val="0"/>
        </w:numPr>
        <w:spacing w:line="520" w:lineRule="exact"/>
        <w:ind w:left="640"/>
        <w:rPr>
          <w:lang w:val="en-US"/>
        </w:rPr>
      </w:pPr>
      <w:r>
        <w:rPr>
          <w:rFonts w:hint="eastAsia"/>
          <w:lang w:val="en-US"/>
        </w:rPr>
        <w:t>五、存在的问题</w:t>
      </w:r>
    </w:p>
    <w:p w:rsidR="00E93749" w:rsidRPr="00E93749" w:rsidRDefault="00E93749" w:rsidP="00E93749">
      <w:pPr>
        <w:pStyle w:val="a2"/>
        <w:ind w:firstLine="640"/>
        <w:rPr>
          <w:lang w:val="en-US"/>
        </w:rPr>
      </w:pPr>
      <w:r>
        <w:rPr>
          <w:rFonts w:ascii="仿宋_GB2312" w:hAnsi="仿宋_GB2312" w:cs="仿宋_GB2312" w:hint="eastAsia"/>
          <w:sz w:val="32"/>
          <w:szCs w:val="32"/>
        </w:rPr>
        <w:t>文旅公共服务设施有待进一步完善，产业发展水平有待进一步提升，</w:t>
      </w:r>
      <w:r>
        <w:rPr>
          <w:rFonts w:ascii="仿宋_GB2312" w:hAnsi="黑体" w:hint="eastAsia"/>
          <w:sz w:val="32"/>
          <w:szCs w:val="32"/>
        </w:rPr>
        <w:t>文化资源挖掘转化力度有待进一步加大等</w:t>
      </w:r>
      <w:r w:rsidRPr="007B59FF">
        <w:rPr>
          <w:rFonts w:ascii="仿宋_GB2312" w:hAnsi="黑体" w:hint="eastAsia"/>
          <w:sz w:val="32"/>
          <w:szCs w:val="32"/>
        </w:rPr>
        <w:t>。</w:t>
      </w:r>
    </w:p>
    <w:p w:rsidR="00EE0469" w:rsidRDefault="00EE0469" w:rsidP="00EE0469">
      <w:pPr>
        <w:pStyle w:val="1"/>
        <w:numPr>
          <w:ilvl w:val="0"/>
          <w:numId w:val="0"/>
        </w:numPr>
        <w:spacing w:line="520" w:lineRule="exact"/>
        <w:ind w:left="640"/>
        <w:rPr>
          <w:lang w:val="en-US"/>
        </w:rPr>
      </w:pPr>
      <w:r>
        <w:rPr>
          <w:rFonts w:hint="eastAsia"/>
          <w:lang w:val="en-US"/>
        </w:rPr>
        <w:t>六、相关建议</w:t>
      </w:r>
    </w:p>
    <w:p w:rsidR="00E93749" w:rsidRDefault="00E93749" w:rsidP="00E93749">
      <w:pPr>
        <w:spacing w:line="560" w:lineRule="exact"/>
        <w:ind w:firstLine="660"/>
        <w:rPr>
          <w:rFonts w:ascii="仿宋_GB2312" w:eastAsia="仿宋_GB2312" w:hAnsi="黑体"/>
          <w:sz w:val="32"/>
          <w:szCs w:val="32"/>
        </w:rPr>
      </w:pPr>
      <w:r>
        <w:rPr>
          <w:rFonts w:ascii="楷体_GB2312" w:eastAsia="楷体_GB2312" w:hint="eastAsia"/>
          <w:sz w:val="32"/>
          <w:szCs w:val="32"/>
        </w:rPr>
        <w:t>一是推动</w:t>
      </w:r>
      <w:r w:rsidRPr="003123A5">
        <w:rPr>
          <w:rFonts w:ascii="楷体_GB2312" w:eastAsia="楷体_GB2312" w:hint="eastAsia"/>
          <w:sz w:val="32"/>
          <w:szCs w:val="32"/>
        </w:rPr>
        <w:t>产业</w:t>
      </w:r>
      <w:r>
        <w:rPr>
          <w:rFonts w:ascii="楷体_GB2312" w:eastAsia="楷体_GB2312" w:hint="eastAsia"/>
          <w:sz w:val="32"/>
          <w:szCs w:val="32"/>
        </w:rPr>
        <w:t>升级</w:t>
      </w:r>
      <w:r w:rsidRPr="003123A5">
        <w:rPr>
          <w:rFonts w:ascii="楷体_GB2312" w:eastAsia="楷体_GB2312" w:hint="eastAsia"/>
          <w:sz w:val="32"/>
          <w:szCs w:val="32"/>
        </w:rPr>
        <w:t>。</w:t>
      </w:r>
      <w:r w:rsidRPr="00E47004">
        <w:rPr>
          <w:rFonts w:ascii="仿宋_GB2312" w:eastAsia="仿宋_GB2312" w:hint="eastAsia"/>
          <w:sz w:val="32"/>
          <w:szCs w:val="32"/>
        </w:rPr>
        <w:t>科学谋划文旅产业</w:t>
      </w:r>
      <w:r>
        <w:rPr>
          <w:rFonts w:ascii="仿宋_GB2312" w:eastAsia="仿宋_GB2312" w:hint="eastAsia"/>
          <w:sz w:val="32"/>
          <w:szCs w:val="32"/>
        </w:rPr>
        <w:t>三到五年</w:t>
      </w:r>
      <w:r w:rsidRPr="00E47004">
        <w:rPr>
          <w:rFonts w:ascii="仿宋_GB2312" w:eastAsia="仿宋_GB2312" w:hint="eastAsia"/>
          <w:sz w:val="32"/>
          <w:szCs w:val="32"/>
        </w:rPr>
        <w:t>计划，</w:t>
      </w:r>
      <w:r>
        <w:rPr>
          <w:rFonts w:ascii="仿宋_GB2312" w:eastAsia="仿宋_GB2312" w:hint="eastAsia"/>
          <w:sz w:val="32"/>
          <w:szCs w:val="32"/>
        </w:rPr>
        <w:t>统</w:t>
      </w:r>
      <w:r>
        <w:rPr>
          <w:rFonts w:ascii="仿宋_GB2312" w:eastAsia="仿宋_GB2312" w:hAnsi="黑体" w:hint="eastAsia"/>
          <w:sz w:val="32"/>
          <w:szCs w:val="32"/>
        </w:rPr>
        <w:t>筹制定新一轮产业扶持政策，推动文化资源向旅游产品转化，加大本土企业培育和招商引资力度</w:t>
      </w:r>
      <w:r w:rsidRPr="00E47004">
        <w:rPr>
          <w:rFonts w:ascii="仿宋_GB2312" w:eastAsia="仿宋_GB2312" w:hAnsi="黑体" w:hint="eastAsia"/>
          <w:sz w:val="32"/>
          <w:szCs w:val="32"/>
        </w:rPr>
        <w:t>。</w:t>
      </w:r>
    </w:p>
    <w:p w:rsidR="00E93749" w:rsidRPr="00265ACD" w:rsidRDefault="00E93749" w:rsidP="00E93749">
      <w:pPr>
        <w:spacing w:line="560" w:lineRule="exact"/>
        <w:ind w:firstLine="660"/>
        <w:rPr>
          <w:rFonts w:ascii="仿宋_GB2312" w:eastAsia="仿宋_GB2312" w:hAnsi="黑体"/>
          <w:sz w:val="32"/>
          <w:szCs w:val="32"/>
        </w:rPr>
      </w:pPr>
      <w:r>
        <w:rPr>
          <w:rFonts w:ascii="楷体_GB2312" w:eastAsia="楷体_GB2312" w:hAnsi="黑体" w:hint="eastAsia"/>
          <w:sz w:val="32"/>
          <w:szCs w:val="32"/>
        </w:rPr>
        <w:t>二是</w:t>
      </w:r>
      <w:r w:rsidRPr="003123A5">
        <w:rPr>
          <w:rFonts w:ascii="楷体_GB2312" w:eastAsia="楷体_GB2312" w:hAnsi="黑体" w:hint="eastAsia"/>
          <w:sz w:val="32"/>
          <w:szCs w:val="32"/>
        </w:rPr>
        <w:t>优化</w:t>
      </w:r>
      <w:r>
        <w:rPr>
          <w:rFonts w:ascii="楷体_GB2312" w:eastAsia="楷体_GB2312" w:hAnsi="黑体" w:hint="eastAsia"/>
          <w:sz w:val="32"/>
          <w:szCs w:val="32"/>
        </w:rPr>
        <w:t>文旅</w:t>
      </w:r>
      <w:r w:rsidRPr="003123A5">
        <w:rPr>
          <w:rFonts w:ascii="楷体_GB2312" w:eastAsia="楷体_GB2312" w:hAnsi="黑体" w:hint="eastAsia"/>
          <w:sz w:val="32"/>
          <w:szCs w:val="32"/>
        </w:rPr>
        <w:t>服务</w:t>
      </w:r>
      <w:r>
        <w:rPr>
          <w:rFonts w:ascii="仿宋_GB2312" w:eastAsia="仿宋_GB2312" w:hAnsi="黑体" w:hint="eastAsia"/>
          <w:sz w:val="32"/>
          <w:szCs w:val="32"/>
        </w:rPr>
        <w:t>。开展</w:t>
      </w:r>
      <w:r w:rsidRPr="00F415DB">
        <w:rPr>
          <w:rFonts w:ascii="仿宋_GB2312" w:eastAsia="仿宋_GB2312" w:hAnsi="黑体" w:hint="eastAsia"/>
          <w:sz w:val="32"/>
          <w:szCs w:val="32"/>
        </w:rPr>
        <w:t>公共文化服务效能提升行动</w:t>
      </w:r>
      <w:r>
        <w:rPr>
          <w:rFonts w:ascii="仿宋_GB2312" w:eastAsia="仿宋_GB2312" w:hAnsi="黑体" w:hint="eastAsia"/>
          <w:sz w:val="32"/>
          <w:szCs w:val="32"/>
        </w:rPr>
        <w:t>，加大文物保护力度，完成市图书馆新馆建设立项，创作一批文艺</w:t>
      </w:r>
      <w:r w:rsidRPr="00F415DB">
        <w:rPr>
          <w:rFonts w:ascii="仿宋_GB2312" w:eastAsia="仿宋_GB2312" w:hAnsi="黑体" w:hint="eastAsia"/>
          <w:sz w:val="32"/>
          <w:szCs w:val="32"/>
        </w:rPr>
        <w:t>精品</w:t>
      </w:r>
      <w:r>
        <w:rPr>
          <w:rFonts w:ascii="仿宋_GB2312" w:eastAsia="仿宋_GB2312" w:hAnsi="黑体" w:hint="eastAsia"/>
          <w:sz w:val="32"/>
          <w:szCs w:val="32"/>
        </w:rPr>
        <w:t>，</w:t>
      </w:r>
      <w:r w:rsidRPr="00F415DB">
        <w:rPr>
          <w:rFonts w:ascii="仿宋_GB2312" w:eastAsia="仿宋_GB2312" w:hAnsi="黑体" w:hint="eastAsia"/>
          <w:sz w:val="32"/>
          <w:szCs w:val="32"/>
        </w:rPr>
        <w:t>打造数字文化服务平台</w:t>
      </w:r>
      <w:r>
        <w:rPr>
          <w:rFonts w:ascii="仿宋_GB2312" w:eastAsia="仿宋_GB2312" w:hAnsi="黑体" w:hint="eastAsia"/>
          <w:sz w:val="32"/>
          <w:szCs w:val="32"/>
        </w:rPr>
        <w:t>和群众文化活动</w:t>
      </w:r>
      <w:r w:rsidRPr="00F415DB">
        <w:rPr>
          <w:rFonts w:ascii="仿宋_GB2312" w:eastAsia="仿宋_GB2312" w:hAnsi="黑体" w:hint="eastAsia"/>
          <w:sz w:val="32"/>
          <w:szCs w:val="32"/>
        </w:rPr>
        <w:t>品牌</w:t>
      </w:r>
      <w:r>
        <w:rPr>
          <w:rFonts w:ascii="仿宋_GB2312" w:eastAsia="仿宋_GB2312" w:hAnsi="黑体" w:hint="eastAsia"/>
          <w:sz w:val="32"/>
          <w:szCs w:val="32"/>
        </w:rPr>
        <w:t>。</w:t>
      </w:r>
    </w:p>
    <w:p w:rsidR="00E93749" w:rsidRDefault="00E93749" w:rsidP="00E93749">
      <w:pPr>
        <w:spacing w:line="560" w:lineRule="exact"/>
        <w:ind w:firstLineChars="200" w:firstLine="640"/>
        <w:rPr>
          <w:rFonts w:ascii="仿宋_GB2312" w:eastAsia="仿宋_GB2312" w:hAnsi="黑体"/>
          <w:sz w:val="32"/>
          <w:szCs w:val="32"/>
        </w:rPr>
      </w:pPr>
      <w:r>
        <w:rPr>
          <w:rFonts w:ascii="楷体_GB2312" w:eastAsia="楷体_GB2312" w:hAnsi="黑体" w:hint="eastAsia"/>
          <w:sz w:val="32"/>
          <w:szCs w:val="32"/>
        </w:rPr>
        <w:t>三是强化城市营销</w:t>
      </w:r>
      <w:r w:rsidRPr="003123A5">
        <w:rPr>
          <w:rFonts w:ascii="楷体_GB2312" w:eastAsia="楷体_GB2312" w:hAnsi="黑体" w:hint="eastAsia"/>
          <w:sz w:val="32"/>
          <w:szCs w:val="32"/>
        </w:rPr>
        <w:t>。</w:t>
      </w:r>
      <w:r w:rsidRPr="00D42730">
        <w:rPr>
          <w:rFonts w:ascii="仿宋_GB2312" w:eastAsia="仿宋_GB2312" w:hAnsi="黑体" w:hint="eastAsia"/>
          <w:sz w:val="32"/>
          <w:szCs w:val="32"/>
        </w:rPr>
        <w:t>建立与国内重点客源城市合作机制</w:t>
      </w:r>
      <w:r>
        <w:rPr>
          <w:rFonts w:ascii="仿宋_GB2312" w:eastAsia="仿宋_GB2312" w:hAnsi="黑体" w:hint="eastAsia"/>
          <w:sz w:val="32"/>
          <w:szCs w:val="32"/>
        </w:rPr>
        <w:t>，</w:t>
      </w:r>
      <w:r w:rsidRPr="00F415DB">
        <w:rPr>
          <w:rFonts w:ascii="仿宋_GB2312" w:eastAsia="仿宋_GB2312" w:hAnsi="黑体" w:hint="eastAsia"/>
          <w:sz w:val="32"/>
          <w:szCs w:val="32"/>
        </w:rPr>
        <w:t>增加高端旅游产品供给</w:t>
      </w:r>
      <w:r>
        <w:rPr>
          <w:rFonts w:ascii="仿宋_GB2312" w:eastAsia="仿宋_GB2312" w:hAnsi="黑体" w:hint="eastAsia"/>
          <w:sz w:val="32"/>
          <w:szCs w:val="32"/>
        </w:rPr>
        <w:t>，举办国际戏剧学院奖等品牌节会</w:t>
      </w:r>
      <w:r w:rsidRPr="00F415DB">
        <w:rPr>
          <w:rFonts w:ascii="仿宋_GB2312" w:eastAsia="仿宋_GB2312" w:hAnsi="黑体" w:hint="eastAsia"/>
          <w:sz w:val="32"/>
          <w:szCs w:val="32"/>
        </w:rPr>
        <w:t>活动</w:t>
      </w:r>
      <w:r>
        <w:rPr>
          <w:rFonts w:ascii="仿宋_GB2312" w:eastAsia="仿宋_GB2312" w:hAnsi="黑体" w:hint="eastAsia"/>
          <w:sz w:val="32"/>
          <w:szCs w:val="32"/>
        </w:rPr>
        <w:t>，充分利用</w:t>
      </w:r>
      <w:r w:rsidRPr="00F415DB">
        <w:rPr>
          <w:rFonts w:ascii="仿宋_GB2312" w:eastAsia="仿宋_GB2312" w:hAnsi="黑体" w:hint="eastAsia"/>
          <w:sz w:val="32"/>
          <w:szCs w:val="32"/>
        </w:rPr>
        <w:t>新媒体平台</w:t>
      </w:r>
      <w:r>
        <w:rPr>
          <w:rFonts w:ascii="仿宋_GB2312" w:eastAsia="仿宋_GB2312" w:hAnsi="黑体" w:hint="eastAsia"/>
          <w:sz w:val="32"/>
          <w:szCs w:val="32"/>
        </w:rPr>
        <w:t>开展</w:t>
      </w:r>
      <w:r w:rsidRPr="00F415DB">
        <w:rPr>
          <w:rFonts w:ascii="仿宋_GB2312" w:eastAsia="仿宋_GB2312" w:hAnsi="黑体" w:hint="eastAsia"/>
          <w:sz w:val="32"/>
          <w:szCs w:val="32"/>
        </w:rPr>
        <w:t>营销推广</w:t>
      </w:r>
      <w:r>
        <w:rPr>
          <w:rFonts w:ascii="仿宋_GB2312" w:eastAsia="仿宋_GB2312" w:hAnsi="黑体" w:hint="eastAsia"/>
          <w:sz w:val="32"/>
          <w:szCs w:val="32"/>
        </w:rPr>
        <w:t>，打造</w:t>
      </w:r>
      <w:r w:rsidRPr="006822D0">
        <w:rPr>
          <w:rFonts w:ascii="仿宋_GB2312" w:eastAsia="仿宋_GB2312" w:hAnsi="黑体" w:hint="eastAsia"/>
          <w:sz w:val="32"/>
          <w:szCs w:val="32"/>
        </w:rPr>
        <w:t>青岛文旅IP</w:t>
      </w:r>
      <w:r>
        <w:rPr>
          <w:rFonts w:ascii="仿宋_GB2312" w:eastAsia="仿宋_GB2312" w:hAnsi="黑体" w:hint="eastAsia"/>
          <w:sz w:val="32"/>
          <w:szCs w:val="32"/>
        </w:rPr>
        <w:t>。</w:t>
      </w:r>
    </w:p>
    <w:p w:rsidR="00E93749" w:rsidRPr="0030272C" w:rsidRDefault="00E93749" w:rsidP="00E93749">
      <w:pPr>
        <w:spacing w:line="560" w:lineRule="exact"/>
        <w:ind w:firstLineChars="200" w:firstLine="640"/>
        <w:rPr>
          <w:rFonts w:ascii="仿宋_GB2312" w:eastAsia="仿宋_GB2312" w:hAnsi="黑体"/>
          <w:sz w:val="32"/>
          <w:szCs w:val="32"/>
        </w:rPr>
      </w:pPr>
      <w:r>
        <w:rPr>
          <w:rFonts w:ascii="楷体_GB2312" w:eastAsia="楷体_GB2312" w:hAnsi="黑体" w:hint="eastAsia"/>
          <w:sz w:val="32"/>
          <w:szCs w:val="32"/>
        </w:rPr>
        <w:t>四是严格</w:t>
      </w:r>
      <w:r w:rsidRPr="003123A5">
        <w:rPr>
          <w:rFonts w:ascii="楷体_GB2312" w:eastAsia="楷体_GB2312" w:hAnsi="黑体" w:hint="eastAsia"/>
          <w:sz w:val="32"/>
          <w:szCs w:val="32"/>
        </w:rPr>
        <w:t>市场监管</w:t>
      </w:r>
      <w:r w:rsidRPr="0030272C">
        <w:rPr>
          <w:rFonts w:ascii="仿宋_GB2312" w:eastAsia="仿宋_GB2312" w:hAnsi="黑体" w:hint="eastAsia"/>
          <w:sz w:val="32"/>
          <w:szCs w:val="32"/>
        </w:rPr>
        <w:t>。持续开展专项整治，加大对市场主体的教育和监管力度，保持“扫黄打非”高压态势，严厉打击各类违法违规行为。</w:t>
      </w:r>
    </w:p>
    <w:p w:rsidR="0030272C" w:rsidRDefault="0030272C" w:rsidP="0030272C">
      <w:pPr>
        <w:pStyle w:val="a1"/>
      </w:pPr>
    </w:p>
    <w:p w:rsidR="0030272C" w:rsidRDefault="0030272C" w:rsidP="0030272C">
      <w:pPr>
        <w:pStyle w:val="a1"/>
      </w:pPr>
    </w:p>
    <w:p w:rsidR="0030272C" w:rsidRDefault="0030272C" w:rsidP="0030272C">
      <w:pPr>
        <w:pStyle w:val="a1"/>
      </w:pPr>
    </w:p>
    <w:p w:rsidR="0030272C" w:rsidRDefault="0030272C" w:rsidP="0030272C">
      <w:pPr>
        <w:pStyle w:val="a1"/>
      </w:pPr>
    </w:p>
    <w:p w:rsidR="0030272C" w:rsidRDefault="0030272C" w:rsidP="0030272C">
      <w:pPr>
        <w:pStyle w:val="a1"/>
      </w:pPr>
    </w:p>
    <w:p w:rsidR="0030272C" w:rsidRPr="0030272C" w:rsidRDefault="0030272C" w:rsidP="0030272C">
      <w:pPr>
        <w:pStyle w:val="a1"/>
        <w:rPr>
          <w:rFonts w:ascii="仿宋_GB2312" w:hAnsi="黑体"/>
          <w:color w:val="auto"/>
          <w:sz w:val="32"/>
          <w:szCs w:val="32"/>
        </w:rPr>
      </w:pPr>
      <w:r>
        <w:rPr>
          <w:rFonts w:hint="eastAsia"/>
        </w:rPr>
        <w:t xml:space="preserve">                                  </w:t>
      </w:r>
      <w:r w:rsidRPr="0030272C">
        <w:rPr>
          <w:rFonts w:ascii="仿宋_GB2312" w:hAnsi="黑体" w:hint="eastAsia"/>
          <w:color w:val="auto"/>
          <w:sz w:val="32"/>
          <w:szCs w:val="32"/>
        </w:rPr>
        <w:t xml:space="preserve">  青岛市文化和旅游局</w:t>
      </w:r>
    </w:p>
    <w:p w:rsidR="0030272C" w:rsidRPr="0030272C" w:rsidRDefault="0030272C" w:rsidP="0030272C">
      <w:pPr>
        <w:pStyle w:val="a1"/>
        <w:rPr>
          <w:rFonts w:ascii="仿宋_GB2312" w:hAnsi="黑体"/>
          <w:color w:val="auto"/>
          <w:sz w:val="32"/>
          <w:szCs w:val="32"/>
        </w:rPr>
      </w:pPr>
      <w:r w:rsidRPr="0030272C">
        <w:rPr>
          <w:rFonts w:ascii="仿宋_GB2312" w:hAnsi="黑体" w:hint="eastAsia"/>
          <w:color w:val="auto"/>
          <w:sz w:val="32"/>
          <w:szCs w:val="32"/>
        </w:rPr>
        <w:t xml:space="preserve">                              </w:t>
      </w:r>
      <w:r w:rsidRPr="0030272C">
        <w:rPr>
          <w:rFonts w:ascii="仿宋_GB2312" w:hAnsi="黑体"/>
          <w:color w:val="auto"/>
          <w:sz w:val="32"/>
          <w:szCs w:val="32"/>
        </w:rPr>
        <w:t>2021年4月28日</w:t>
      </w:r>
    </w:p>
    <w:sectPr w:rsidR="0030272C" w:rsidRPr="0030272C" w:rsidSect="00EE0469">
      <w:footerReference w:type="default" r:id="rId9"/>
      <w:footnotePr>
        <w:numRestart w:val="eachPage"/>
      </w:footnotePr>
      <w:pgSz w:w="11906" w:h="16838"/>
      <w:pgMar w:top="1440" w:right="1800" w:bottom="1440" w:left="1800"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6803" w:rsidRDefault="00466803">
      <w:r>
        <w:separator/>
      </w:r>
    </w:p>
  </w:endnote>
  <w:endnote w:type="continuationSeparator" w:id="0">
    <w:p w:rsidR="00466803" w:rsidRDefault="004668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文星简黑体">
    <w:altName w:val="黑体"/>
    <w:charset w:val="86"/>
    <w:family w:val="roman"/>
    <w:pitch w:val="default"/>
    <w:sig w:usb0="00000000" w:usb1="0000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E-BZ">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650707"/>
      <w:docPartObj>
        <w:docPartGallery w:val="Page Numbers (Bottom of Page)"/>
        <w:docPartUnique/>
      </w:docPartObj>
    </w:sdtPr>
    <w:sdtContent>
      <w:p w:rsidR="0030272C" w:rsidRDefault="009C3D4D">
        <w:pPr>
          <w:pStyle w:val="a9"/>
          <w:jc w:val="center"/>
        </w:pPr>
        <w:fldSimple w:instr=" PAGE   \* MERGEFORMAT ">
          <w:r w:rsidR="001A6E29" w:rsidRPr="001A6E29">
            <w:rPr>
              <w:noProof/>
              <w:lang w:val="zh-CN"/>
            </w:rPr>
            <w:t>17</w:t>
          </w:r>
        </w:fldSimple>
      </w:p>
    </w:sdtContent>
  </w:sdt>
  <w:p w:rsidR="0030272C" w:rsidRDefault="0030272C">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6803" w:rsidRDefault="00466803">
      <w:r>
        <w:separator/>
      </w:r>
    </w:p>
  </w:footnote>
  <w:footnote w:type="continuationSeparator" w:id="0">
    <w:p w:rsidR="00466803" w:rsidRDefault="004668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671B8"/>
    <w:multiLevelType w:val="multilevel"/>
    <w:tmpl w:val="610671B8"/>
    <w:lvl w:ilvl="0">
      <w:start w:val="1"/>
      <w:numFmt w:val="chineseCountingThousand"/>
      <w:pStyle w:val="1"/>
      <w:suff w:val="nothing"/>
      <w:lvlText w:val="%1、"/>
      <w:lvlJc w:val="left"/>
      <w:pPr>
        <w:ind w:left="4253" w:hanging="425"/>
      </w:pPr>
      <w:rPr>
        <w:rFonts w:hint="eastAsia"/>
      </w:rPr>
    </w:lvl>
    <w:lvl w:ilvl="1">
      <w:start w:val="1"/>
      <w:numFmt w:val="chineseCountingThousand"/>
      <w:pStyle w:val="2"/>
      <w:suff w:val="nothing"/>
      <w:lvlText w:val="（%2）"/>
      <w:lvlJc w:val="left"/>
      <w:pPr>
        <w:ind w:left="709" w:hanging="567"/>
      </w:pPr>
      <w:rPr>
        <w:rFonts w:hint="eastAsia"/>
      </w:rPr>
    </w:lvl>
    <w:lvl w:ilvl="2">
      <w:start w:val="1"/>
      <w:numFmt w:val="decimal"/>
      <w:pStyle w:val="3"/>
      <w:suff w:val="nothing"/>
      <w:lvlText w:val="%3. "/>
      <w:lvlJc w:val="left"/>
      <w:pPr>
        <w:ind w:left="426" w:hanging="567"/>
      </w:pPr>
      <w:rPr>
        <w:rFonts w:hint="eastAsia"/>
      </w:rPr>
    </w:lvl>
    <w:lvl w:ilvl="3">
      <w:start w:val="1"/>
      <w:numFmt w:val="decimal"/>
      <w:pStyle w:val="4"/>
      <w:suff w:val="nothing"/>
      <w:lvlText w:val="（%4）"/>
      <w:lvlJc w:val="left"/>
      <w:pPr>
        <w:ind w:left="1134" w:hanging="425"/>
      </w:pPr>
      <w:rPr>
        <w:rFonts w:hint="eastAsia"/>
      </w:rPr>
    </w:lvl>
    <w:lvl w:ilvl="4">
      <w:start w:val="1"/>
      <w:numFmt w:val="decimal"/>
      <w:pStyle w:val="5"/>
      <w:suff w:val="nothing"/>
      <w:lvlText w:val="%5）"/>
      <w:lvlJc w:val="left"/>
      <w:pPr>
        <w:ind w:left="709" w:hanging="113"/>
      </w:pPr>
      <w:rPr>
        <w:rFonts w:hint="eastAsia"/>
      </w:rPr>
    </w:lvl>
    <w:lvl w:ilvl="5">
      <w:start w:val="1"/>
      <w:numFmt w:val="decimal"/>
      <w:pStyle w:val="a"/>
      <w:suff w:val="nothing"/>
      <w:lvlText w:val="附件%6 "/>
      <w:lvlJc w:val="left"/>
      <w:pPr>
        <w:ind w:left="-283" w:firstLine="0"/>
      </w:pPr>
      <w:rPr>
        <w:rFonts w:hint="eastAsia"/>
      </w:rPr>
    </w:lvl>
    <w:lvl w:ilvl="6">
      <w:start w:val="1"/>
      <w:numFmt w:val="chineseCountingThousand"/>
      <w:suff w:val="nothing"/>
      <w:lvlText w:val="%7、"/>
      <w:lvlJc w:val="left"/>
      <w:pPr>
        <w:ind w:left="709" w:hanging="567"/>
      </w:pPr>
      <w:rPr>
        <w:rFonts w:hint="eastAsia"/>
      </w:rPr>
    </w:lvl>
    <w:lvl w:ilvl="7">
      <w:start w:val="1"/>
      <w:numFmt w:val="chineseCountingThousand"/>
      <w:suff w:val="nothing"/>
      <w:lvlText w:val="（%8）"/>
      <w:lvlJc w:val="left"/>
      <w:pPr>
        <w:ind w:left="709" w:hanging="567"/>
      </w:pPr>
      <w:rPr>
        <w:rFonts w:hint="eastAsia"/>
      </w:rPr>
    </w:lvl>
    <w:lvl w:ilvl="8">
      <w:start w:val="1"/>
      <w:numFmt w:val="decimal"/>
      <w:suff w:val="nothing"/>
      <w:lvlText w:val="%9. "/>
      <w:lvlJc w:val="left"/>
      <w:pPr>
        <w:ind w:left="709" w:hanging="567"/>
      </w:pPr>
      <w:rPr>
        <w:rFonts w:hint="eastAsia"/>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hideSpellingErrors/>
  <w:proofState w:spelling="clean"/>
  <w:attachedTemplate r:id="rId1"/>
  <w:stylePaneFormatFilter w:val="1028"/>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7410" fillcolor="white">
      <v:fill color="white"/>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724D"/>
    <w:rsid w:val="000103F6"/>
    <w:rsid w:val="00015FD7"/>
    <w:rsid w:val="00017425"/>
    <w:rsid w:val="000215FD"/>
    <w:rsid w:val="000236D0"/>
    <w:rsid w:val="00025E1A"/>
    <w:rsid w:val="00035C58"/>
    <w:rsid w:val="00035F6C"/>
    <w:rsid w:val="00044534"/>
    <w:rsid w:val="00045368"/>
    <w:rsid w:val="0005304B"/>
    <w:rsid w:val="00053EAD"/>
    <w:rsid w:val="0005634B"/>
    <w:rsid w:val="00065703"/>
    <w:rsid w:val="00066C9A"/>
    <w:rsid w:val="00071965"/>
    <w:rsid w:val="000760DA"/>
    <w:rsid w:val="000826C1"/>
    <w:rsid w:val="00083FCC"/>
    <w:rsid w:val="00086675"/>
    <w:rsid w:val="00091146"/>
    <w:rsid w:val="00092548"/>
    <w:rsid w:val="000930F8"/>
    <w:rsid w:val="000962ED"/>
    <w:rsid w:val="000A261F"/>
    <w:rsid w:val="000A612E"/>
    <w:rsid w:val="000A76C2"/>
    <w:rsid w:val="000C0DDB"/>
    <w:rsid w:val="000C277D"/>
    <w:rsid w:val="000D04E1"/>
    <w:rsid w:val="000E5EFC"/>
    <w:rsid w:val="000E7309"/>
    <w:rsid w:val="000F0A10"/>
    <w:rsid w:val="000F2B10"/>
    <w:rsid w:val="000F58AF"/>
    <w:rsid w:val="000F73D4"/>
    <w:rsid w:val="000F7747"/>
    <w:rsid w:val="00102E6B"/>
    <w:rsid w:val="00104628"/>
    <w:rsid w:val="00107BD6"/>
    <w:rsid w:val="00110233"/>
    <w:rsid w:val="00110F1D"/>
    <w:rsid w:val="001124FB"/>
    <w:rsid w:val="001130E9"/>
    <w:rsid w:val="00114DEE"/>
    <w:rsid w:val="001171EA"/>
    <w:rsid w:val="00121E22"/>
    <w:rsid w:val="00132A28"/>
    <w:rsid w:val="0014424E"/>
    <w:rsid w:val="00144B6F"/>
    <w:rsid w:val="00147239"/>
    <w:rsid w:val="00147A7E"/>
    <w:rsid w:val="00152D39"/>
    <w:rsid w:val="001555BF"/>
    <w:rsid w:val="001615C2"/>
    <w:rsid w:val="00162F82"/>
    <w:rsid w:val="00163A98"/>
    <w:rsid w:val="00172053"/>
    <w:rsid w:val="00173F46"/>
    <w:rsid w:val="001807D4"/>
    <w:rsid w:val="00181230"/>
    <w:rsid w:val="00184ABA"/>
    <w:rsid w:val="001911BA"/>
    <w:rsid w:val="00192F0D"/>
    <w:rsid w:val="0019781C"/>
    <w:rsid w:val="00197D2B"/>
    <w:rsid w:val="001A05A0"/>
    <w:rsid w:val="001A2F90"/>
    <w:rsid w:val="001A6E29"/>
    <w:rsid w:val="001A7797"/>
    <w:rsid w:val="001B1EA4"/>
    <w:rsid w:val="001B24EE"/>
    <w:rsid w:val="001B486E"/>
    <w:rsid w:val="001C60B0"/>
    <w:rsid w:val="001D2018"/>
    <w:rsid w:val="001E3D9F"/>
    <w:rsid w:val="001E4440"/>
    <w:rsid w:val="00204B59"/>
    <w:rsid w:val="00205309"/>
    <w:rsid w:val="002068C4"/>
    <w:rsid w:val="00216BF3"/>
    <w:rsid w:val="002173D5"/>
    <w:rsid w:val="00221726"/>
    <w:rsid w:val="00222A88"/>
    <w:rsid w:val="0022387E"/>
    <w:rsid w:val="00233597"/>
    <w:rsid w:val="0023442A"/>
    <w:rsid w:val="00237C0D"/>
    <w:rsid w:val="0026269B"/>
    <w:rsid w:val="00270EA4"/>
    <w:rsid w:val="00270F7F"/>
    <w:rsid w:val="00272D30"/>
    <w:rsid w:val="00274941"/>
    <w:rsid w:val="00277770"/>
    <w:rsid w:val="00281D6F"/>
    <w:rsid w:val="00295624"/>
    <w:rsid w:val="002A429E"/>
    <w:rsid w:val="002A44DB"/>
    <w:rsid w:val="002B01E4"/>
    <w:rsid w:val="002B4447"/>
    <w:rsid w:val="002C3232"/>
    <w:rsid w:val="002C46C0"/>
    <w:rsid w:val="002D58DE"/>
    <w:rsid w:val="002E3092"/>
    <w:rsid w:val="002F0BBF"/>
    <w:rsid w:val="0030272C"/>
    <w:rsid w:val="00304B83"/>
    <w:rsid w:val="003057C6"/>
    <w:rsid w:val="00306A50"/>
    <w:rsid w:val="00306E74"/>
    <w:rsid w:val="00317E01"/>
    <w:rsid w:val="00323EE0"/>
    <w:rsid w:val="0033302E"/>
    <w:rsid w:val="0034355A"/>
    <w:rsid w:val="003453B8"/>
    <w:rsid w:val="00345EF3"/>
    <w:rsid w:val="0035699D"/>
    <w:rsid w:val="00356FCE"/>
    <w:rsid w:val="00363E2A"/>
    <w:rsid w:val="003727B2"/>
    <w:rsid w:val="00383CBD"/>
    <w:rsid w:val="00390FDC"/>
    <w:rsid w:val="003957CB"/>
    <w:rsid w:val="0039624B"/>
    <w:rsid w:val="00397DBF"/>
    <w:rsid w:val="003A14CB"/>
    <w:rsid w:val="003A6948"/>
    <w:rsid w:val="003A6EB1"/>
    <w:rsid w:val="003B1629"/>
    <w:rsid w:val="003B427B"/>
    <w:rsid w:val="003D3060"/>
    <w:rsid w:val="003D428A"/>
    <w:rsid w:val="003D61E8"/>
    <w:rsid w:val="003F45CF"/>
    <w:rsid w:val="00400395"/>
    <w:rsid w:val="0041326E"/>
    <w:rsid w:val="004170F1"/>
    <w:rsid w:val="00420F63"/>
    <w:rsid w:val="00421805"/>
    <w:rsid w:val="00421A3F"/>
    <w:rsid w:val="0043483F"/>
    <w:rsid w:val="004408E8"/>
    <w:rsid w:val="00444700"/>
    <w:rsid w:val="0044724D"/>
    <w:rsid w:val="004531F9"/>
    <w:rsid w:val="004542E0"/>
    <w:rsid w:val="00461869"/>
    <w:rsid w:val="00466115"/>
    <w:rsid w:val="00466803"/>
    <w:rsid w:val="00477F73"/>
    <w:rsid w:val="00481171"/>
    <w:rsid w:val="004876E7"/>
    <w:rsid w:val="00493152"/>
    <w:rsid w:val="00493F68"/>
    <w:rsid w:val="004A3A8E"/>
    <w:rsid w:val="004A5E40"/>
    <w:rsid w:val="004B3569"/>
    <w:rsid w:val="004D40CF"/>
    <w:rsid w:val="004D5BB2"/>
    <w:rsid w:val="004F0717"/>
    <w:rsid w:val="00502945"/>
    <w:rsid w:val="0050520B"/>
    <w:rsid w:val="00506BA0"/>
    <w:rsid w:val="00517FC2"/>
    <w:rsid w:val="00546D71"/>
    <w:rsid w:val="00550A75"/>
    <w:rsid w:val="005602DA"/>
    <w:rsid w:val="00560DED"/>
    <w:rsid w:val="00562FDD"/>
    <w:rsid w:val="00584B70"/>
    <w:rsid w:val="005946B1"/>
    <w:rsid w:val="005954FF"/>
    <w:rsid w:val="005B41A4"/>
    <w:rsid w:val="005B429E"/>
    <w:rsid w:val="005B4DBE"/>
    <w:rsid w:val="005B5F1D"/>
    <w:rsid w:val="005C05B3"/>
    <w:rsid w:val="005C4184"/>
    <w:rsid w:val="005C7243"/>
    <w:rsid w:val="005E16C6"/>
    <w:rsid w:val="005E41FD"/>
    <w:rsid w:val="005E54C2"/>
    <w:rsid w:val="005E5FE8"/>
    <w:rsid w:val="005F2B0E"/>
    <w:rsid w:val="00602845"/>
    <w:rsid w:val="00604CEA"/>
    <w:rsid w:val="00607F4F"/>
    <w:rsid w:val="00610C44"/>
    <w:rsid w:val="00621D51"/>
    <w:rsid w:val="00642A61"/>
    <w:rsid w:val="00645087"/>
    <w:rsid w:val="00647C46"/>
    <w:rsid w:val="00653671"/>
    <w:rsid w:val="00656492"/>
    <w:rsid w:val="00670309"/>
    <w:rsid w:val="00671F28"/>
    <w:rsid w:val="00672848"/>
    <w:rsid w:val="00672BF2"/>
    <w:rsid w:val="00676082"/>
    <w:rsid w:val="00681991"/>
    <w:rsid w:val="00684679"/>
    <w:rsid w:val="00690D70"/>
    <w:rsid w:val="00697F95"/>
    <w:rsid w:val="006B25EE"/>
    <w:rsid w:val="006B5747"/>
    <w:rsid w:val="006B6D34"/>
    <w:rsid w:val="006C0552"/>
    <w:rsid w:val="006C56E6"/>
    <w:rsid w:val="006D2AA1"/>
    <w:rsid w:val="006D3289"/>
    <w:rsid w:val="006D38B2"/>
    <w:rsid w:val="006E058D"/>
    <w:rsid w:val="006E3C10"/>
    <w:rsid w:val="006E7F29"/>
    <w:rsid w:val="006F2868"/>
    <w:rsid w:val="0070312D"/>
    <w:rsid w:val="0070712E"/>
    <w:rsid w:val="00741C00"/>
    <w:rsid w:val="00744A5A"/>
    <w:rsid w:val="00744BAE"/>
    <w:rsid w:val="00756CD2"/>
    <w:rsid w:val="00760396"/>
    <w:rsid w:val="00762408"/>
    <w:rsid w:val="00763364"/>
    <w:rsid w:val="007665DB"/>
    <w:rsid w:val="007772DD"/>
    <w:rsid w:val="0079506D"/>
    <w:rsid w:val="007A1413"/>
    <w:rsid w:val="007B5552"/>
    <w:rsid w:val="007C1028"/>
    <w:rsid w:val="007C5DBA"/>
    <w:rsid w:val="007C700F"/>
    <w:rsid w:val="007D6A9B"/>
    <w:rsid w:val="007E6C44"/>
    <w:rsid w:val="007E7712"/>
    <w:rsid w:val="007F6F59"/>
    <w:rsid w:val="00800141"/>
    <w:rsid w:val="00803146"/>
    <w:rsid w:val="00813462"/>
    <w:rsid w:val="0082340E"/>
    <w:rsid w:val="00825915"/>
    <w:rsid w:val="008362C0"/>
    <w:rsid w:val="00836DC7"/>
    <w:rsid w:val="0084030D"/>
    <w:rsid w:val="00844EAF"/>
    <w:rsid w:val="008461D5"/>
    <w:rsid w:val="008473A4"/>
    <w:rsid w:val="00847B85"/>
    <w:rsid w:val="008554F8"/>
    <w:rsid w:val="0086271D"/>
    <w:rsid w:val="00864A6F"/>
    <w:rsid w:val="008656D4"/>
    <w:rsid w:val="008719CF"/>
    <w:rsid w:val="00876338"/>
    <w:rsid w:val="00876C42"/>
    <w:rsid w:val="008822AB"/>
    <w:rsid w:val="00887AFB"/>
    <w:rsid w:val="008909AF"/>
    <w:rsid w:val="008A2A9A"/>
    <w:rsid w:val="008A4DAC"/>
    <w:rsid w:val="008A618D"/>
    <w:rsid w:val="008B17D1"/>
    <w:rsid w:val="008B68F7"/>
    <w:rsid w:val="008F0B0F"/>
    <w:rsid w:val="008F6E48"/>
    <w:rsid w:val="0090373E"/>
    <w:rsid w:val="00910FBE"/>
    <w:rsid w:val="00914E55"/>
    <w:rsid w:val="009204FB"/>
    <w:rsid w:val="0093120B"/>
    <w:rsid w:val="00935273"/>
    <w:rsid w:val="00944FA3"/>
    <w:rsid w:val="009454F7"/>
    <w:rsid w:val="009463CC"/>
    <w:rsid w:val="00951537"/>
    <w:rsid w:val="009535A2"/>
    <w:rsid w:val="0096155B"/>
    <w:rsid w:val="009660CD"/>
    <w:rsid w:val="009747AF"/>
    <w:rsid w:val="00996D6E"/>
    <w:rsid w:val="009A3904"/>
    <w:rsid w:val="009A407D"/>
    <w:rsid w:val="009A6EC2"/>
    <w:rsid w:val="009B506F"/>
    <w:rsid w:val="009B5C0F"/>
    <w:rsid w:val="009B6902"/>
    <w:rsid w:val="009B6DDE"/>
    <w:rsid w:val="009C3D4D"/>
    <w:rsid w:val="009C7496"/>
    <w:rsid w:val="009E3D55"/>
    <w:rsid w:val="009E5B2A"/>
    <w:rsid w:val="009E7A87"/>
    <w:rsid w:val="009F08D9"/>
    <w:rsid w:val="009F536F"/>
    <w:rsid w:val="00A00F28"/>
    <w:rsid w:val="00A05231"/>
    <w:rsid w:val="00A058BE"/>
    <w:rsid w:val="00A134E9"/>
    <w:rsid w:val="00A274CE"/>
    <w:rsid w:val="00A36DCE"/>
    <w:rsid w:val="00A41C90"/>
    <w:rsid w:val="00A42809"/>
    <w:rsid w:val="00A42ACC"/>
    <w:rsid w:val="00A44B4D"/>
    <w:rsid w:val="00A558DE"/>
    <w:rsid w:val="00A6197A"/>
    <w:rsid w:val="00A72299"/>
    <w:rsid w:val="00A7645B"/>
    <w:rsid w:val="00A76C7F"/>
    <w:rsid w:val="00AA1D28"/>
    <w:rsid w:val="00AA2ECD"/>
    <w:rsid w:val="00AA3DE6"/>
    <w:rsid w:val="00AA53AE"/>
    <w:rsid w:val="00AA6DFA"/>
    <w:rsid w:val="00AA7BD8"/>
    <w:rsid w:val="00AB2DA1"/>
    <w:rsid w:val="00AB308A"/>
    <w:rsid w:val="00AC022B"/>
    <w:rsid w:val="00AC41A9"/>
    <w:rsid w:val="00AD214E"/>
    <w:rsid w:val="00AD253A"/>
    <w:rsid w:val="00AD596D"/>
    <w:rsid w:val="00AD6D5C"/>
    <w:rsid w:val="00AE0794"/>
    <w:rsid w:val="00AF6C81"/>
    <w:rsid w:val="00B2173E"/>
    <w:rsid w:val="00B242E6"/>
    <w:rsid w:val="00B274E4"/>
    <w:rsid w:val="00B40888"/>
    <w:rsid w:val="00B4122F"/>
    <w:rsid w:val="00B46BED"/>
    <w:rsid w:val="00B574A4"/>
    <w:rsid w:val="00B66A60"/>
    <w:rsid w:val="00B76B39"/>
    <w:rsid w:val="00B77990"/>
    <w:rsid w:val="00B82711"/>
    <w:rsid w:val="00B87803"/>
    <w:rsid w:val="00B87DFC"/>
    <w:rsid w:val="00B9004E"/>
    <w:rsid w:val="00B906E1"/>
    <w:rsid w:val="00B932F3"/>
    <w:rsid w:val="00B934BC"/>
    <w:rsid w:val="00BA0039"/>
    <w:rsid w:val="00BA0172"/>
    <w:rsid w:val="00BB20D8"/>
    <w:rsid w:val="00BB212B"/>
    <w:rsid w:val="00BB6D6E"/>
    <w:rsid w:val="00BC37D0"/>
    <w:rsid w:val="00BC45D7"/>
    <w:rsid w:val="00BC6377"/>
    <w:rsid w:val="00BC685D"/>
    <w:rsid w:val="00BC6E4B"/>
    <w:rsid w:val="00BC70A3"/>
    <w:rsid w:val="00BD7587"/>
    <w:rsid w:val="00BE720D"/>
    <w:rsid w:val="00BF5B0B"/>
    <w:rsid w:val="00C03D9D"/>
    <w:rsid w:val="00C051ED"/>
    <w:rsid w:val="00C06151"/>
    <w:rsid w:val="00C11F1D"/>
    <w:rsid w:val="00C14179"/>
    <w:rsid w:val="00C149BF"/>
    <w:rsid w:val="00C20481"/>
    <w:rsid w:val="00C233CE"/>
    <w:rsid w:val="00C266B9"/>
    <w:rsid w:val="00C47486"/>
    <w:rsid w:val="00C515BC"/>
    <w:rsid w:val="00C5307E"/>
    <w:rsid w:val="00C54DD6"/>
    <w:rsid w:val="00C672D2"/>
    <w:rsid w:val="00C705E2"/>
    <w:rsid w:val="00C71C8D"/>
    <w:rsid w:val="00C7785A"/>
    <w:rsid w:val="00C95D24"/>
    <w:rsid w:val="00CA0E49"/>
    <w:rsid w:val="00CA53E1"/>
    <w:rsid w:val="00CA7294"/>
    <w:rsid w:val="00CB3D5E"/>
    <w:rsid w:val="00CB4DCD"/>
    <w:rsid w:val="00CB636D"/>
    <w:rsid w:val="00CC1849"/>
    <w:rsid w:val="00CC2F11"/>
    <w:rsid w:val="00CC3A35"/>
    <w:rsid w:val="00CD5214"/>
    <w:rsid w:val="00CE7600"/>
    <w:rsid w:val="00CF0FB1"/>
    <w:rsid w:val="00D02371"/>
    <w:rsid w:val="00D1642C"/>
    <w:rsid w:val="00D2613E"/>
    <w:rsid w:val="00D26C53"/>
    <w:rsid w:val="00D26E14"/>
    <w:rsid w:val="00D3096C"/>
    <w:rsid w:val="00D32DBF"/>
    <w:rsid w:val="00D348EA"/>
    <w:rsid w:val="00D54A94"/>
    <w:rsid w:val="00D54FCF"/>
    <w:rsid w:val="00D612A9"/>
    <w:rsid w:val="00D73E02"/>
    <w:rsid w:val="00D74E79"/>
    <w:rsid w:val="00D8113E"/>
    <w:rsid w:val="00D84754"/>
    <w:rsid w:val="00D91CAD"/>
    <w:rsid w:val="00DA134B"/>
    <w:rsid w:val="00DA79D1"/>
    <w:rsid w:val="00DB521B"/>
    <w:rsid w:val="00DE254C"/>
    <w:rsid w:val="00DF454E"/>
    <w:rsid w:val="00E04113"/>
    <w:rsid w:val="00E041C3"/>
    <w:rsid w:val="00E048E8"/>
    <w:rsid w:val="00E160F7"/>
    <w:rsid w:val="00E20797"/>
    <w:rsid w:val="00E228E6"/>
    <w:rsid w:val="00E25D5A"/>
    <w:rsid w:val="00E34DC0"/>
    <w:rsid w:val="00E427DD"/>
    <w:rsid w:val="00E4320E"/>
    <w:rsid w:val="00E4321C"/>
    <w:rsid w:val="00E43655"/>
    <w:rsid w:val="00E449A7"/>
    <w:rsid w:val="00E51F53"/>
    <w:rsid w:val="00E57492"/>
    <w:rsid w:val="00E61B30"/>
    <w:rsid w:val="00E67B38"/>
    <w:rsid w:val="00E74089"/>
    <w:rsid w:val="00E81226"/>
    <w:rsid w:val="00E82DCF"/>
    <w:rsid w:val="00E917E4"/>
    <w:rsid w:val="00E92AA6"/>
    <w:rsid w:val="00E93749"/>
    <w:rsid w:val="00E95F7F"/>
    <w:rsid w:val="00EA177C"/>
    <w:rsid w:val="00EB723A"/>
    <w:rsid w:val="00EC1253"/>
    <w:rsid w:val="00EC42B2"/>
    <w:rsid w:val="00EC569D"/>
    <w:rsid w:val="00ED1F81"/>
    <w:rsid w:val="00ED379F"/>
    <w:rsid w:val="00ED5703"/>
    <w:rsid w:val="00ED7C2E"/>
    <w:rsid w:val="00EE0469"/>
    <w:rsid w:val="00EE244A"/>
    <w:rsid w:val="00EE28C6"/>
    <w:rsid w:val="00EE684D"/>
    <w:rsid w:val="00EF1D4A"/>
    <w:rsid w:val="00EF1FA9"/>
    <w:rsid w:val="00EF5C27"/>
    <w:rsid w:val="00F01138"/>
    <w:rsid w:val="00F117A5"/>
    <w:rsid w:val="00F14EA6"/>
    <w:rsid w:val="00F1584C"/>
    <w:rsid w:val="00F20B28"/>
    <w:rsid w:val="00F24ACB"/>
    <w:rsid w:val="00F2542E"/>
    <w:rsid w:val="00F270BD"/>
    <w:rsid w:val="00F27FC0"/>
    <w:rsid w:val="00F35308"/>
    <w:rsid w:val="00F36FD9"/>
    <w:rsid w:val="00F65ACD"/>
    <w:rsid w:val="00F76F9A"/>
    <w:rsid w:val="00F80EB6"/>
    <w:rsid w:val="00F8405D"/>
    <w:rsid w:val="00F92352"/>
    <w:rsid w:val="00F95D73"/>
    <w:rsid w:val="00FB0228"/>
    <w:rsid w:val="00FC36AB"/>
    <w:rsid w:val="00FC4671"/>
    <w:rsid w:val="00FE14F7"/>
    <w:rsid w:val="00FE2104"/>
    <w:rsid w:val="00FE228F"/>
    <w:rsid w:val="00FF2845"/>
    <w:rsid w:val="00FF42FB"/>
    <w:rsid w:val="00FF4B3C"/>
    <w:rsid w:val="01A967AF"/>
    <w:rsid w:val="03126EC1"/>
    <w:rsid w:val="056C2322"/>
    <w:rsid w:val="062279E7"/>
    <w:rsid w:val="088D0BB9"/>
    <w:rsid w:val="098E77E1"/>
    <w:rsid w:val="09D033F7"/>
    <w:rsid w:val="0AE51120"/>
    <w:rsid w:val="0DC972B1"/>
    <w:rsid w:val="0F3B088E"/>
    <w:rsid w:val="11385DD4"/>
    <w:rsid w:val="11840E93"/>
    <w:rsid w:val="123B58F9"/>
    <w:rsid w:val="143F62F6"/>
    <w:rsid w:val="15F95F09"/>
    <w:rsid w:val="185E217B"/>
    <w:rsid w:val="1C9705AD"/>
    <w:rsid w:val="1DDE004C"/>
    <w:rsid w:val="211902FC"/>
    <w:rsid w:val="21EC1E8C"/>
    <w:rsid w:val="23265177"/>
    <w:rsid w:val="24076DC4"/>
    <w:rsid w:val="254D027F"/>
    <w:rsid w:val="25B43E05"/>
    <w:rsid w:val="27397FE9"/>
    <w:rsid w:val="2B6B4505"/>
    <w:rsid w:val="2DA52BA3"/>
    <w:rsid w:val="2F0A3E88"/>
    <w:rsid w:val="30FB2C7F"/>
    <w:rsid w:val="31125F8E"/>
    <w:rsid w:val="31216EAC"/>
    <w:rsid w:val="31B171C6"/>
    <w:rsid w:val="32D86604"/>
    <w:rsid w:val="352D6FAB"/>
    <w:rsid w:val="35CC3847"/>
    <w:rsid w:val="369304CA"/>
    <w:rsid w:val="395057FB"/>
    <w:rsid w:val="39562773"/>
    <w:rsid w:val="3C4C613C"/>
    <w:rsid w:val="3FDA42AE"/>
    <w:rsid w:val="414430F9"/>
    <w:rsid w:val="461817D8"/>
    <w:rsid w:val="466B5CBC"/>
    <w:rsid w:val="469E43E1"/>
    <w:rsid w:val="47B946A3"/>
    <w:rsid w:val="4C133FE8"/>
    <w:rsid w:val="4C7F0211"/>
    <w:rsid w:val="510136A3"/>
    <w:rsid w:val="5133595A"/>
    <w:rsid w:val="53BA19A8"/>
    <w:rsid w:val="55D75A96"/>
    <w:rsid w:val="5AAC5C94"/>
    <w:rsid w:val="5B4000FF"/>
    <w:rsid w:val="5C3227E0"/>
    <w:rsid w:val="5E560E07"/>
    <w:rsid w:val="601109F2"/>
    <w:rsid w:val="614B65E7"/>
    <w:rsid w:val="628B522D"/>
    <w:rsid w:val="63833AFA"/>
    <w:rsid w:val="639D7DDE"/>
    <w:rsid w:val="65683A20"/>
    <w:rsid w:val="685D0847"/>
    <w:rsid w:val="69A33F4A"/>
    <w:rsid w:val="6CF27A15"/>
    <w:rsid w:val="6D9A0C63"/>
    <w:rsid w:val="73135945"/>
    <w:rsid w:val="735C0031"/>
    <w:rsid w:val="744F754B"/>
    <w:rsid w:val="74665964"/>
    <w:rsid w:val="78862C04"/>
    <w:rsid w:val="79555989"/>
    <w:rsid w:val="7B587545"/>
    <w:rsid w:val="7B6A560A"/>
    <w:rsid w:val="7CC737C3"/>
    <w:rsid w:val="7E7463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1" w:unhideWhenUsed="0" w:qFormat="1"/>
    <w:lsdException w:name="heading 3" w:semiHidden="0" w:uiPriority="2" w:unhideWhenUsed="0" w:qFormat="1"/>
    <w:lsdException w:name="heading 4" w:semiHidden="0" w:uiPriority="3" w:unhideWhenUsed="0" w:qFormat="1"/>
    <w:lsdException w:name="heading 5" w:semiHidden="0" w:uiPriority="9" w:qFormat="1"/>
    <w:lsdException w:name="heading 6" w:uiPriority="9"/>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annotation text" w:semiHidden="0" w:qFormat="1"/>
    <w:lsdException w:name="header" w:semiHidden="0" w:qFormat="1"/>
    <w:lsdException w:name="footer" w:semiHidden="0" w:qFormat="1"/>
    <w:lsdException w:name="caption" w:semiHidden="0" w:uiPriority="35" w:qFormat="1"/>
    <w:lsdException w:name="footnote reference" w:semiHidden="0" w:uiPriority="0" w:unhideWhenUsed="0" w:qFormat="1"/>
    <w:lsdException w:name="annotation reference" w:qFormat="1"/>
    <w:lsdException w:name="page number" w:semiHidden="0" w:uiPriority="0" w:unhideWhenUsed="0" w:qFormat="1"/>
    <w:lsdException w:name="Title" w:semiHidden="0" w:uiPriority="10" w:unhideWhenUsed="0"/>
    <w:lsdException w:name="Default Paragraph Font" w:semiHidden="0" w:uiPriority="1" w:qFormat="1"/>
    <w:lsdException w:name="Body Text" w:semiHidden="0" w:qFormat="1"/>
    <w:lsdException w:name="Subtitle" w:semiHidden="0" w:uiPriority="11" w:unhideWhenUsed="0"/>
    <w:lsdException w:name="Hyperlink" w:semiHidden="0" w:qFormat="1"/>
    <w:lsdException w:name="Strong" w:semiHidden="0" w:uiPriority="22" w:unhideWhenUsed="0" w:qFormat="1"/>
    <w:lsdException w:name="Emphasis" w:semiHidden="0" w:uiPriority="20" w:unhideWhenUsed="0"/>
    <w:lsdException w:name="Normal (Web)" w:semiHidden="0" w:unhideWhenUsed="0"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next w:val="a1"/>
    <w:qFormat/>
    <w:rsid w:val="00935273"/>
    <w:pPr>
      <w:widowControl w:val="0"/>
      <w:jc w:val="both"/>
    </w:pPr>
    <w:rPr>
      <w:rFonts w:asciiTheme="minorHAnsi" w:eastAsiaTheme="minorEastAsia" w:hAnsiTheme="minorHAnsi" w:cstheme="minorBidi"/>
      <w:kern w:val="2"/>
      <w:sz w:val="21"/>
      <w:szCs w:val="21"/>
    </w:rPr>
  </w:style>
  <w:style w:type="paragraph" w:styleId="1">
    <w:name w:val="heading 1"/>
    <w:basedOn w:val="a2"/>
    <w:next w:val="a2"/>
    <w:link w:val="1Char"/>
    <w:qFormat/>
    <w:rsid w:val="00935273"/>
    <w:pPr>
      <w:numPr>
        <w:numId w:val="1"/>
      </w:numPr>
      <w:spacing w:before="120" w:after="60"/>
      <w:ind w:left="0" w:firstLine="200"/>
      <w:jc w:val="left"/>
      <w:outlineLvl w:val="0"/>
    </w:pPr>
    <w:rPr>
      <w:rFonts w:eastAsia="黑体"/>
      <w:bCs/>
      <w:kern w:val="44"/>
      <w:sz w:val="32"/>
      <w:szCs w:val="44"/>
    </w:rPr>
  </w:style>
  <w:style w:type="paragraph" w:styleId="2">
    <w:name w:val="heading 2"/>
    <w:basedOn w:val="a2"/>
    <w:next w:val="a2"/>
    <w:link w:val="2Char"/>
    <w:uiPriority w:val="1"/>
    <w:qFormat/>
    <w:rsid w:val="00935273"/>
    <w:pPr>
      <w:keepNext/>
      <w:keepLines/>
      <w:numPr>
        <w:ilvl w:val="1"/>
        <w:numId w:val="1"/>
      </w:numPr>
      <w:spacing w:before="120" w:after="60"/>
      <w:ind w:left="0" w:firstLine="200"/>
      <w:outlineLvl w:val="1"/>
    </w:pPr>
    <w:rPr>
      <w:rFonts w:cstheme="majorBidi"/>
      <w:b/>
      <w:bCs/>
      <w:szCs w:val="32"/>
    </w:rPr>
  </w:style>
  <w:style w:type="paragraph" w:styleId="3">
    <w:name w:val="heading 3"/>
    <w:basedOn w:val="a2"/>
    <w:next w:val="a2"/>
    <w:link w:val="3Char"/>
    <w:uiPriority w:val="2"/>
    <w:qFormat/>
    <w:rsid w:val="00935273"/>
    <w:pPr>
      <w:keepNext/>
      <w:keepLines/>
      <w:numPr>
        <w:ilvl w:val="2"/>
        <w:numId w:val="1"/>
      </w:numPr>
      <w:spacing w:before="120" w:after="60"/>
      <w:ind w:left="0" w:firstLine="200"/>
      <w:outlineLvl w:val="2"/>
    </w:pPr>
    <w:rPr>
      <w:b/>
      <w:bCs/>
      <w:szCs w:val="32"/>
    </w:rPr>
  </w:style>
  <w:style w:type="paragraph" w:styleId="4">
    <w:name w:val="heading 4"/>
    <w:basedOn w:val="a2"/>
    <w:next w:val="a0"/>
    <w:link w:val="4Char"/>
    <w:uiPriority w:val="3"/>
    <w:qFormat/>
    <w:rsid w:val="00935273"/>
    <w:pPr>
      <w:keepNext/>
      <w:keepLines/>
      <w:numPr>
        <w:ilvl w:val="3"/>
        <w:numId w:val="1"/>
      </w:numPr>
      <w:spacing w:before="120" w:after="60"/>
      <w:ind w:left="0" w:firstLine="200"/>
      <w:outlineLvl w:val="3"/>
    </w:pPr>
    <w:rPr>
      <w:rFonts w:cstheme="majorBidi"/>
      <w:b/>
      <w:bCs/>
    </w:rPr>
  </w:style>
  <w:style w:type="paragraph" w:styleId="5">
    <w:name w:val="heading 5"/>
    <w:basedOn w:val="a2"/>
    <w:next w:val="a2"/>
    <w:link w:val="5Char"/>
    <w:uiPriority w:val="9"/>
    <w:unhideWhenUsed/>
    <w:qFormat/>
    <w:rsid w:val="00935273"/>
    <w:pPr>
      <w:keepNext/>
      <w:keepLines/>
      <w:numPr>
        <w:ilvl w:val="4"/>
        <w:numId w:val="1"/>
      </w:numPr>
      <w:spacing w:before="120" w:after="60"/>
      <w:ind w:firstLineChars="0" w:firstLine="0"/>
      <w:outlineLvl w:val="4"/>
    </w:pPr>
    <w:rPr>
      <w:b/>
      <w:bCs/>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Body Text"/>
    <w:basedOn w:val="a0"/>
    <w:link w:val="Char"/>
    <w:uiPriority w:val="99"/>
    <w:unhideWhenUsed/>
    <w:qFormat/>
    <w:rsid w:val="00935273"/>
    <w:pPr>
      <w:tabs>
        <w:tab w:val="left" w:pos="0"/>
      </w:tabs>
    </w:pPr>
    <w:rPr>
      <w:rFonts w:ascii="宋体" w:eastAsia="仿宋_GB2312" w:hAnsi="宋体"/>
      <w:color w:val="000000"/>
      <w:sz w:val="24"/>
    </w:rPr>
  </w:style>
  <w:style w:type="paragraph" w:customStyle="1" w:styleId="a2">
    <w:name w:val="闻政正文"/>
    <w:basedOn w:val="a0"/>
    <w:link w:val="Char0"/>
    <w:qFormat/>
    <w:rsid w:val="00935273"/>
    <w:pPr>
      <w:spacing w:line="500" w:lineRule="exact"/>
      <w:ind w:firstLineChars="200" w:firstLine="200"/>
    </w:pPr>
    <w:rPr>
      <w:rFonts w:ascii="Times New Roman" w:eastAsia="仿宋_GB2312" w:hAnsi="Times New Roman" w:cs="Times New Roman"/>
      <w:kern w:val="0"/>
      <w:sz w:val="28"/>
      <w:szCs w:val="28"/>
      <w:lang w:val="zh-CN"/>
    </w:rPr>
  </w:style>
  <w:style w:type="paragraph" w:styleId="a6">
    <w:name w:val="caption"/>
    <w:basedOn w:val="a0"/>
    <w:next w:val="a0"/>
    <w:uiPriority w:val="35"/>
    <w:unhideWhenUsed/>
    <w:qFormat/>
    <w:rsid w:val="00935273"/>
    <w:rPr>
      <w:rFonts w:asciiTheme="majorHAnsi" w:eastAsia="黑体" w:hAnsiTheme="majorHAnsi" w:cstheme="majorBidi"/>
      <w:sz w:val="20"/>
      <w:szCs w:val="20"/>
    </w:rPr>
  </w:style>
  <w:style w:type="paragraph" w:styleId="a7">
    <w:name w:val="annotation text"/>
    <w:basedOn w:val="a0"/>
    <w:link w:val="Char1"/>
    <w:uiPriority w:val="99"/>
    <w:unhideWhenUsed/>
    <w:qFormat/>
    <w:rsid w:val="00935273"/>
    <w:pPr>
      <w:jc w:val="left"/>
    </w:pPr>
  </w:style>
  <w:style w:type="paragraph" w:styleId="30">
    <w:name w:val="toc 3"/>
    <w:basedOn w:val="a0"/>
    <w:next w:val="a0"/>
    <w:uiPriority w:val="39"/>
    <w:unhideWhenUsed/>
    <w:qFormat/>
    <w:rsid w:val="00935273"/>
    <w:pPr>
      <w:ind w:leftChars="400" w:left="840"/>
    </w:pPr>
  </w:style>
  <w:style w:type="paragraph" w:styleId="a8">
    <w:name w:val="Balloon Text"/>
    <w:basedOn w:val="a0"/>
    <w:link w:val="Char2"/>
    <w:uiPriority w:val="99"/>
    <w:semiHidden/>
    <w:unhideWhenUsed/>
    <w:qFormat/>
    <w:rsid w:val="00935273"/>
    <w:rPr>
      <w:sz w:val="18"/>
      <w:szCs w:val="18"/>
    </w:rPr>
  </w:style>
  <w:style w:type="paragraph" w:styleId="a9">
    <w:name w:val="footer"/>
    <w:basedOn w:val="a0"/>
    <w:link w:val="Char3"/>
    <w:uiPriority w:val="99"/>
    <w:unhideWhenUsed/>
    <w:qFormat/>
    <w:rsid w:val="00935273"/>
    <w:pPr>
      <w:tabs>
        <w:tab w:val="center" w:pos="4153"/>
        <w:tab w:val="right" w:pos="8306"/>
      </w:tabs>
      <w:snapToGrid w:val="0"/>
      <w:jc w:val="left"/>
    </w:pPr>
    <w:rPr>
      <w:rFonts w:ascii="Calibri" w:eastAsia="宋体" w:hAnsi="Calibri" w:cs="Times New Roman"/>
      <w:sz w:val="18"/>
      <w:szCs w:val="18"/>
    </w:rPr>
  </w:style>
  <w:style w:type="paragraph" w:styleId="aa">
    <w:name w:val="header"/>
    <w:basedOn w:val="a0"/>
    <w:link w:val="Char4"/>
    <w:uiPriority w:val="99"/>
    <w:unhideWhenUsed/>
    <w:qFormat/>
    <w:rsid w:val="00935273"/>
    <w:pPr>
      <w:pBdr>
        <w:bottom w:val="single" w:sz="6" w:space="1" w:color="auto"/>
      </w:pBdr>
      <w:tabs>
        <w:tab w:val="center" w:pos="4153"/>
        <w:tab w:val="right" w:pos="8306"/>
      </w:tabs>
      <w:snapToGrid w:val="0"/>
      <w:jc w:val="center"/>
    </w:pPr>
    <w:rPr>
      <w:sz w:val="18"/>
      <w:szCs w:val="18"/>
    </w:rPr>
  </w:style>
  <w:style w:type="paragraph" w:styleId="10">
    <w:name w:val="toc 1"/>
    <w:basedOn w:val="a2"/>
    <w:next w:val="a2"/>
    <w:uiPriority w:val="39"/>
    <w:unhideWhenUsed/>
    <w:qFormat/>
    <w:rsid w:val="00935273"/>
    <w:pPr>
      <w:tabs>
        <w:tab w:val="right" w:leader="dot" w:pos="8296"/>
      </w:tabs>
      <w:spacing w:line="460" w:lineRule="exact"/>
      <w:ind w:firstLineChars="0" w:firstLine="0"/>
    </w:pPr>
    <w:rPr>
      <w:b/>
    </w:rPr>
  </w:style>
  <w:style w:type="paragraph" w:styleId="ab">
    <w:name w:val="footnote text"/>
    <w:basedOn w:val="a0"/>
    <w:link w:val="Char5"/>
    <w:qFormat/>
    <w:rsid w:val="00935273"/>
    <w:pPr>
      <w:snapToGrid w:val="0"/>
      <w:jc w:val="left"/>
    </w:pPr>
    <w:rPr>
      <w:rFonts w:ascii="Times New Roman" w:eastAsia="仿宋_GB2312" w:hAnsi="Times New Roman"/>
      <w:sz w:val="18"/>
      <w:szCs w:val="18"/>
    </w:rPr>
  </w:style>
  <w:style w:type="paragraph" w:styleId="20">
    <w:name w:val="toc 2"/>
    <w:basedOn w:val="a2"/>
    <w:next w:val="a2"/>
    <w:uiPriority w:val="39"/>
    <w:unhideWhenUsed/>
    <w:qFormat/>
    <w:rsid w:val="00935273"/>
    <w:pPr>
      <w:tabs>
        <w:tab w:val="right" w:leader="dot" w:pos="8296"/>
      </w:tabs>
      <w:spacing w:line="460" w:lineRule="exact"/>
      <w:ind w:leftChars="200" w:left="200" w:firstLineChars="0" w:firstLine="0"/>
    </w:pPr>
  </w:style>
  <w:style w:type="paragraph" w:styleId="ac">
    <w:name w:val="Normal (Web)"/>
    <w:basedOn w:val="a0"/>
    <w:uiPriority w:val="99"/>
    <w:qFormat/>
    <w:rsid w:val="00935273"/>
    <w:rPr>
      <w:rFonts w:ascii="Calibri" w:eastAsia="宋体" w:hAnsi="Calibri"/>
      <w:sz w:val="24"/>
      <w:szCs w:val="22"/>
    </w:rPr>
  </w:style>
  <w:style w:type="paragraph" w:styleId="ad">
    <w:name w:val="annotation subject"/>
    <w:basedOn w:val="a7"/>
    <w:next w:val="a7"/>
    <w:link w:val="Char6"/>
    <w:uiPriority w:val="99"/>
    <w:semiHidden/>
    <w:unhideWhenUsed/>
    <w:qFormat/>
    <w:rsid w:val="00935273"/>
    <w:rPr>
      <w:b/>
      <w:bCs/>
    </w:rPr>
  </w:style>
  <w:style w:type="table" w:styleId="ae">
    <w:name w:val="Table Grid"/>
    <w:basedOn w:val="a4"/>
    <w:uiPriority w:val="39"/>
    <w:qFormat/>
    <w:rsid w:val="00935273"/>
    <w:pPr>
      <w:spacing w:line="300" w:lineRule="exact"/>
      <w:jc w:val="center"/>
    </w:pPr>
    <w:rPr>
      <w:rFonts w:eastAsia="仿宋_GB231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tblHeader/>
    </w:trPr>
    <w:tcPr>
      <w:vAlign w:val="center"/>
    </w:tcPr>
  </w:style>
  <w:style w:type="character" w:styleId="af">
    <w:name w:val="Strong"/>
    <w:basedOn w:val="a3"/>
    <w:uiPriority w:val="22"/>
    <w:qFormat/>
    <w:rsid w:val="00935273"/>
    <w:rPr>
      <w:b/>
      <w:bCs/>
    </w:rPr>
  </w:style>
  <w:style w:type="character" w:styleId="af0">
    <w:name w:val="page number"/>
    <w:basedOn w:val="a3"/>
    <w:qFormat/>
    <w:rsid w:val="00935273"/>
  </w:style>
  <w:style w:type="character" w:styleId="af1">
    <w:name w:val="Hyperlink"/>
    <w:basedOn w:val="a3"/>
    <w:uiPriority w:val="99"/>
    <w:unhideWhenUsed/>
    <w:qFormat/>
    <w:rsid w:val="00935273"/>
    <w:rPr>
      <w:color w:val="0563C1" w:themeColor="hyperlink"/>
      <w:u w:val="single"/>
    </w:rPr>
  </w:style>
  <w:style w:type="character" w:styleId="af2">
    <w:name w:val="annotation reference"/>
    <w:basedOn w:val="a3"/>
    <w:uiPriority w:val="99"/>
    <w:semiHidden/>
    <w:unhideWhenUsed/>
    <w:qFormat/>
    <w:rsid w:val="00935273"/>
    <w:rPr>
      <w:sz w:val="21"/>
      <w:szCs w:val="21"/>
    </w:rPr>
  </w:style>
  <w:style w:type="character" w:styleId="af3">
    <w:name w:val="footnote reference"/>
    <w:qFormat/>
    <w:rsid w:val="00935273"/>
    <w:rPr>
      <w:vertAlign w:val="superscript"/>
    </w:rPr>
  </w:style>
  <w:style w:type="character" w:customStyle="1" w:styleId="Char">
    <w:name w:val="正文文本 Char"/>
    <w:basedOn w:val="a3"/>
    <w:link w:val="a1"/>
    <w:uiPriority w:val="99"/>
    <w:qFormat/>
    <w:rsid w:val="00935273"/>
    <w:rPr>
      <w:rFonts w:ascii="宋体" w:eastAsia="仿宋_GB2312" w:hAnsi="宋体"/>
      <w:color w:val="000000"/>
      <w:kern w:val="2"/>
      <w:sz w:val="24"/>
      <w:szCs w:val="21"/>
    </w:rPr>
  </w:style>
  <w:style w:type="character" w:customStyle="1" w:styleId="Char0">
    <w:name w:val="闻政正文 Char"/>
    <w:link w:val="a2"/>
    <w:qFormat/>
    <w:rsid w:val="00935273"/>
    <w:rPr>
      <w:rFonts w:ascii="Times New Roman" w:eastAsia="仿宋_GB2312" w:hAnsi="Times New Roman" w:cs="Times New Roman"/>
      <w:kern w:val="0"/>
      <w:sz w:val="28"/>
      <w:szCs w:val="28"/>
      <w:lang w:val="zh-CN" w:eastAsia="zh-CN"/>
    </w:rPr>
  </w:style>
  <w:style w:type="character" w:customStyle="1" w:styleId="1Char">
    <w:name w:val="标题 1 Char"/>
    <w:basedOn w:val="a3"/>
    <w:link w:val="1"/>
    <w:qFormat/>
    <w:rsid w:val="00935273"/>
    <w:rPr>
      <w:rFonts w:ascii="Times New Roman" w:eastAsia="黑体" w:hAnsi="Times New Roman" w:cs="Times New Roman"/>
      <w:bCs/>
      <w:kern w:val="44"/>
      <w:sz w:val="32"/>
      <w:szCs w:val="44"/>
      <w:lang w:val="zh-CN" w:eastAsia="zh-CN"/>
    </w:rPr>
  </w:style>
  <w:style w:type="character" w:customStyle="1" w:styleId="2Char">
    <w:name w:val="标题 2 Char"/>
    <w:basedOn w:val="a3"/>
    <w:link w:val="2"/>
    <w:uiPriority w:val="1"/>
    <w:qFormat/>
    <w:rsid w:val="00935273"/>
    <w:rPr>
      <w:rFonts w:ascii="Times New Roman" w:eastAsia="仿宋_GB2312" w:hAnsi="Times New Roman" w:cstheme="majorBidi"/>
      <w:b/>
      <w:bCs/>
      <w:kern w:val="0"/>
      <w:sz w:val="28"/>
      <w:szCs w:val="32"/>
      <w:lang w:val="zh-CN" w:eastAsia="zh-CN"/>
    </w:rPr>
  </w:style>
  <w:style w:type="character" w:customStyle="1" w:styleId="3Char">
    <w:name w:val="标题 3 Char"/>
    <w:basedOn w:val="a3"/>
    <w:link w:val="3"/>
    <w:uiPriority w:val="2"/>
    <w:qFormat/>
    <w:rsid w:val="00935273"/>
    <w:rPr>
      <w:rFonts w:ascii="Times New Roman" w:eastAsia="仿宋_GB2312" w:hAnsi="Times New Roman" w:cs="Times New Roman"/>
      <w:b/>
      <w:bCs/>
      <w:kern w:val="0"/>
      <w:sz w:val="28"/>
      <w:szCs w:val="32"/>
      <w:lang w:val="zh-CN" w:eastAsia="zh-CN"/>
    </w:rPr>
  </w:style>
  <w:style w:type="character" w:customStyle="1" w:styleId="4Char">
    <w:name w:val="标题 4 Char"/>
    <w:basedOn w:val="a3"/>
    <w:link w:val="4"/>
    <w:uiPriority w:val="3"/>
    <w:qFormat/>
    <w:rsid w:val="00935273"/>
    <w:rPr>
      <w:rFonts w:ascii="Times New Roman" w:eastAsia="仿宋_GB2312" w:hAnsi="Times New Roman" w:cstheme="majorBidi"/>
      <w:b/>
      <w:bCs/>
      <w:kern w:val="0"/>
      <w:sz w:val="28"/>
      <w:szCs w:val="28"/>
      <w:lang w:val="zh-CN" w:eastAsia="zh-CN"/>
    </w:rPr>
  </w:style>
  <w:style w:type="character" w:customStyle="1" w:styleId="5Char">
    <w:name w:val="标题 5 Char"/>
    <w:basedOn w:val="a3"/>
    <w:link w:val="5"/>
    <w:uiPriority w:val="9"/>
    <w:qFormat/>
    <w:rsid w:val="00935273"/>
    <w:rPr>
      <w:rFonts w:ascii="Times New Roman" w:eastAsia="仿宋_GB2312" w:hAnsi="Times New Roman" w:cs="Times New Roman"/>
      <w:b/>
      <w:bCs/>
      <w:kern w:val="0"/>
      <w:sz w:val="28"/>
      <w:szCs w:val="28"/>
      <w:lang w:val="zh-CN" w:eastAsia="zh-CN"/>
    </w:rPr>
  </w:style>
  <w:style w:type="character" w:customStyle="1" w:styleId="Char1">
    <w:name w:val="批注文字 Char"/>
    <w:basedOn w:val="a3"/>
    <w:link w:val="a7"/>
    <w:uiPriority w:val="99"/>
    <w:qFormat/>
    <w:rsid w:val="00935273"/>
  </w:style>
  <w:style w:type="character" w:customStyle="1" w:styleId="Char2">
    <w:name w:val="批注框文本 Char"/>
    <w:basedOn w:val="a3"/>
    <w:link w:val="a8"/>
    <w:uiPriority w:val="99"/>
    <w:semiHidden/>
    <w:qFormat/>
    <w:rsid w:val="00935273"/>
    <w:rPr>
      <w:sz w:val="18"/>
      <w:szCs w:val="18"/>
    </w:rPr>
  </w:style>
  <w:style w:type="character" w:customStyle="1" w:styleId="Char3">
    <w:name w:val="页脚 Char"/>
    <w:basedOn w:val="a3"/>
    <w:link w:val="a9"/>
    <w:uiPriority w:val="99"/>
    <w:qFormat/>
    <w:rsid w:val="00935273"/>
    <w:rPr>
      <w:rFonts w:ascii="Calibri" w:eastAsia="宋体" w:hAnsi="Calibri" w:cs="Times New Roman"/>
      <w:sz w:val="18"/>
      <w:szCs w:val="18"/>
    </w:rPr>
  </w:style>
  <w:style w:type="character" w:customStyle="1" w:styleId="Char4">
    <w:name w:val="页眉 Char"/>
    <w:basedOn w:val="a3"/>
    <w:link w:val="aa"/>
    <w:uiPriority w:val="99"/>
    <w:qFormat/>
    <w:rsid w:val="00935273"/>
    <w:rPr>
      <w:sz w:val="18"/>
      <w:szCs w:val="18"/>
    </w:rPr>
  </w:style>
  <w:style w:type="character" w:customStyle="1" w:styleId="Char5">
    <w:name w:val="脚注文本 Char"/>
    <w:basedOn w:val="a3"/>
    <w:link w:val="ab"/>
    <w:qFormat/>
    <w:rsid w:val="00935273"/>
    <w:rPr>
      <w:rFonts w:ascii="Times New Roman" w:eastAsia="仿宋_GB2312" w:hAnsi="Times New Roman"/>
      <w:sz w:val="18"/>
      <w:szCs w:val="18"/>
    </w:rPr>
  </w:style>
  <w:style w:type="character" w:customStyle="1" w:styleId="Char6">
    <w:name w:val="批注主题 Char"/>
    <w:basedOn w:val="Char1"/>
    <w:link w:val="ad"/>
    <w:uiPriority w:val="99"/>
    <w:semiHidden/>
    <w:qFormat/>
    <w:rsid w:val="00935273"/>
    <w:rPr>
      <w:b/>
      <w:bCs/>
    </w:rPr>
  </w:style>
  <w:style w:type="paragraph" w:customStyle="1" w:styleId="TOC1">
    <w:name w:val="TOC 标题1"/>
    <w:basedOn w:val="1"/>
    <w:next w:val="a0"/>
    <w:uiPriority w:val="39"/>
    <w:unhideWhenUsed/>
    <w:qFormat/>
    <w:rsid w:val="00935273"/>
    <w:pPr>
      <w:widowControl/>
      <w:numPr>
        <w:numId w:val="0"/>
      </w:numPr>
      <w:spacing w:before="240" w:after="0" w:line="259" w:lineRule="auto"/>
      <w:outlineLvl w:val="9"/>
    </w:pPr>
    <w:rPr>
      <w:rFonts w:asciiTheme="majorHAnsi" w:eastAsiaTheme="majorEastAsia" w:hAnsiTheme="majorHAnsi" w:cstheme="majorBidi"/>
      <w:b/>
      <w:bCs w:val="0"/>
      <w:color w:val="2F5496" w:themeColor="accent1" w:themeShade="BF"/>
      <w:kern w:val="0"/>
      <w:szCs w:val="32"/>
    </w:rPr>
  </w:style>
  <w:style w:type="paragraph" w:customStyle="1" w:styleId="af4">
    <w:name w:val="闻政封面标题"/>
    <w:basedOn w:val="a0"/>
    <w:next w:val="af5"/>
    <w:qFormat/>
    <w:rsid w:val="00935273"/>
    <w:pPr>
      <w:spacing w:before="480" w:after="360"/>
      <w:jc w:val="center"/>
    </w:pPr>
    <w:rPr>
      <w:rFonts w:ascii="Times New Roman" w:eastAsia="黑体" w:hAnsi="Times New Roman" w:cs="Times New Roman"/>
      <w:b/>
      <w:snapToGrid w:val="0"/>
      <w:sz w:val="32"/>
      <w:szCs w:val="24"/>
    </w:rPr>
  </w:style>
  <w:style w:type="paragraph" w:customStyle="1" w:styleId="af5">
    <w:name w:val="闻政封面项目信息"/>
    <w:basedOn w:val="a0"/>
    <w:next w:val="af6"/>
    <w:qFormat/>
    <w:rsid w:val="00935273"/>
    <w:pPr>
      <w:spacing w:before="120"/>
      <w:ind w:leftChars="800" w:left="800"/>
      <w:jc w:val="left"/>
    </w:pPr>
    <w:rPr>
      <w:rFonts w:ascii="Times New Roman" w:eastAsia="黑体" w:hAnsi="Times New Roman" w:cs="Times New Roman"/>
      <w:kern w:val="0"/>
      <w:sz w:val="28"/>
      <w:szCs w:val="28"/>
      <w:lang w:val="zh-CN"/>
    </w:rPr>
  </w:style>
  <w:style w:type="paragraph" w:customStyle="1" w:styleId="af6">
    <w:name w:val="闻政封面完成时间"/>
    <w:basedOn w:val="af5"/>
    <w:qFormat/>
    <w:rsid w:val="00935273"/>
    <w:pPr>
      <w:ind w:leftChars="0" w:left="0"/>
      <w:jc w:val="center"/>
    </w:pPr>
    <w:rPr>
      <w:b/>
    </w:rPr>
  </w:style>
  <w:style w:type="paragraph" w:customStyle="1" w:styleId="af7">
    <w:name w:val="闻政页码"/>
    <w:uiPriority w:val="6"/>
    <w:qFormat/>
    <w:rsid w:val="00935273"/>
    <w:pPr>
      <w:jc w:val="center"/>
    </w:pPr>
    <w:rPr>
      <w:rFonts w:eastAsia="Times New Roman"/>
      <w:sz w:val="21"/>
      <w:szCs w:val="28"/>
    </w:rPr>
  </w:style>
  <w:style w:type="paragraph" w:customStyle="1" w:styleId="af8">
    <w:name w:val="闻政摘要标题"/>
    <w:basedOn w:val="a0"/>
    <w:uiPriority w:val="2"/>
    <w:qFormat/>
    <w:rsid w:val="00935273"/>
    <w:pPr>
      <w:spacing w:before="480" w:after="360"/>
      <w:jc w:val="center"/>
      <w:outlineLvl w:val="0"/>
    </w:pPr>
    <w:rPr>
      <w:rFonts w:ascii="Times New Roman" w:eastAsia="黑体" w:hAnsi="Times New Roman" w:cs="Times New Roman"/>
      <w:b/>
      <w:snapToGrid w:val="0"/>
      <w:sz w:val="32"/>
      <w:szCs w:val="24"/>
    </w:rPr>
  </w:style>
  <w:style w:type="paragraph" w:customStyle="1" w:styleId="af9">
    <w:name w:val="闻政图（表）注"/>
    <w:basedOn w:val="a0"/>
    <w:link w:val="Char7"/>
    <w:uiPriority w:val="5"/>
    <w:qFormat/>
    <w:rsid w:val="00935273"/>
    <w:pPr>
      <w:spacing w:before="120"/>
    </w:pPr>
    <w:rPr>
      <w:rFonts w:ascii="Times New Roman" w:eastAsia="仿宋_GB2312" w:hAnsi="Times New Roman" w:cs="Arial"/>
      <w:kern w:val="0"/>
    </w:rPr>
  </w:style>
  <w:style w:type="character" w:customStyle="1" w:styleId="Char7">
    <w:name w:val="闻政图（表）注 Char"/>
    <w:link w:val="af9"/>
    <w:uiPriority w:val="5"/>
    <w:qFormat/>
    <w:rsid w:val="00935273"/>
    <w:rPr>
      <w:rFonts w:ascii="Times New Roman" w:eastAsia="仿宋_GB2312" w:hAnsi="Times New Roman" w:cs="Arial"/>
      <w:kern w:val="0"/>
    </w:rPr>
  </w:style>
  <w:style w:type="paragraph" w:customStyle="1" w:styleId="afa">
    <w:name w:val="闻政图表名"/>
    <w:basedOn w:val="a0"/>
    <w:link w:val="afb"/>
    <w:uiPriority w:val="4"/>
    <w:qFormat/>
    <w:rsid w:val="00935273"/>
    <w:pPr>
      <w:spacing w:before="60" w:after="60"/>
      <w:jc w:val="center"/>
    </w:pPr>
    <w:rPr>
      <w:rFonts w:ascii="Times New Roman" w:eastAsia="仿宋_GB2312" w:hAnsi="Times New Roman" w:cs="Times New Roman"/>
      <w:b/>
      <w:kern w:val="0"/>
      <w:sz w:val="24"/>
      <w:szCs w:val="28"/>
    </w:rPr>
  </w:style>
  <w:style w:type="character" w:customStyle="1" w:styleId="afb">
    <w:name w:val="闻政图表名 字符"/>
    <w:link w:val="afa"/>
    <w:uiPriority w:val="4"/>
    <w:qFormat/>
    <w:rsid w:val="00935273"/>
    <w:rPr>
      <w:rFonts w:ascii="Times New Roman" w:eastAsia="仿宋_GB2312" w:hAnsi="Times New Roman" w:cs="Times New Roman"/>
      <w:b/>
      <w:kern w:val="0"/>
      <w:sz w:val="24"/>
      <w:szCs w:val="28"/>
    </w:rPr>
  </w:style>
  <w:style w:type="paragraph" w:customStyle="1" w:styleId="afc">
    <w:name w:val="闻政备注类"/>
    <w:basedOn w:val="a2"/>
    <w:uiPriority w:val="5"/>
    <w:qFormat/>
    <w:rsid w:val="00935273"/>
    <w:pPr>
      <w:spacing w:line="240" w:lineRule="auto"/>
      <w:jc w:val="left"/>
    </w:pPr>
    <w:rPr>
      <w:rFonts w:cs="宋体"/>
      <w:sz w:val="21"/>
    </w:rPr>
  </w:style>
  <w:style w:type="paragraph" w:customStyle="1" w:styleId="a">
    <w:name w:val="闻政附件标题"/>
    <w:basedOn w:val="a2"/>
    <w:uiPriority w:val="5"/>
    <w:qFormat/>
    <w:rsid w:val="00935273"/>
    <w:pPr>
      <w:numPr>
        <w:ilvl w:val="5"/>
        <w:numId w:val="1"/>
      </w:numPr>
      <w:spacing w:before="120" w:after="60" w:line="240" w:lineRule="auto"/>
      <w:ind w:firstLineChars="0"/>
      <w:outlineLvl w:val="0"/>
    </w:pPr>
    <w:rPr>
      <w:rFonts w:eastAsia="黑体"/>
      <w:b/>
      <w:sz w:val="32"/>
    </w:rPr>
  </w:style>
  <w:style w:type="paragraph" w:customStyle="1" w:styleId="afd">
    <w:name w:val="闻政附件正文"/>
    <w:basedOn w:val="a2"/>
    <w:uiPriority w:val="99"/>
    <w:qFormat/>
    <w:rsid w:val="00935273"/>
    <w:rPr>
      <w:sz w:val="24"/>
    </w:rPr>
  </w:style>
  <w:style w:type="paragraph" w:customStyle="1" w:styleId="afe">
    <w:name w:val="闻政附件报告名"/>
    <w:basedOn w:val="a2"/>
    <w:uiPriority w:val="9"/>
    <w:qFormat/>
    <w:rsid w:val="00935273"/>
    <w:pPr>
      <w:spacing w:before="120" w:after="60"/>
      <w:ind w:firstLineChars="0" w:firstLine="0"/>
      <w:jc w:val="center"/>
    </w:pPr>
    <w:rPr>
      <w:b/>
    </w:rPr>
  </w:style>
  <w:style w:type="paragraph" w:customStyle="1" w:styleId="aff">
    <w:name w:val="闻政附件一级标题"/>
    <w:basedOn w:val="afe"/>
    <w:next w:val="afd"/>
    <w:uiPriority w:val="6"/>
    <w:qFormat/>
    <w:rsid w:val="00935273"/>
    <w:pPr>
      <w:ind w:firstLineChars="200" w:firstLine="200"/>
      <w:jc w:val="left"/>
    </w:pPr>
    <w:rPr>
      <w:rFonts w:cs="宋体"/>
    </w:rPr>
  </w:style>
  <w:style w:type="paragraph" w:customStyle="1" w:styleId="aff0">
    <w:name w:val="闻政附件二级标题"/>
    <w:basedOn w:val="aff"/>
    <w:uiPriority w:val="8"/>
    <w:qFormat/>
    <w:rsid w:val="00935273"/>
    <w:rPr>
      <w:rFonts w:ascii="宋体" w:eastAsia="宋体" w:hAnsi="宋体"/>
    </w:rPr>
  </w:style>
  <w:style w:type="paragraph" w:customStyle="1" w:styleId="aff1">
    <w:name w:val="闻政附件三级标题"/>
    <w:basedOn w:val="aff0"/>
    <w:uiPriority w:val="8"/>
    <w:qFormat/>
    <w:rsid w:val="00935273"/>
    <w:rPr>
      <w:rFonts w:ascii="Times New Roman" w:eastAsia="仿宋_GB2312" w:hAnsi="Times New Roman"/>
    </w:rPr>
  </w:style>
  <w:style w:type="paragraph" w:customStyle="1" w:styleId="aff2">
    <w:name w:val="闻政附件四级标题"/>
    <w:basedOn w:val="aff1"/>
    <w:uiPriority w:val="9"/>
    <w:qFormat/>
    <w:rsid w:val="00935273"/>
    <w:pPr>
      <w:spacing w:before="0" w:after="0"/>
    </w:pPr>
  </w:style>
  <w:style w:type="paragraph" w:customStyle="1" w:styleId="aff3">
    <w:name w:val="闻政脚注"/>
    <w:basedOn w:val="a2"/>
    <w:uiPriority w:val="9"/>
    <w:qFormat/>
    <w:rsid w:val="00935273"/>
    <w:pPr>
      <w:spacing w:line="400" w:lineRule="exact"/>
      <w:ind w:firstLineChars="0" w:firstLine="0"/>
    </w:pPr>
    <w:rPr>
      <w:sz w:val="18"/>
    </w:rPr>
  </w:style>
  <w:style w:type="paragraph" w:customStyle="1" w:styleId="aff4">
    <w:name w:val="闻政目录标题"/>
    <w:basedOn w:val="af4"/>
    <w:uiPriority w:val="1"/>
    <w:qFormat/>
    <w:rsid w:val="00935273"/>
  </w:style>
  <w:style w:type="table" w:customStyle="1" w:styleId="11">
    <w:name w:val="网格型浅色1"/>
    <w:basedOn w:val="a4"/>
    <w:uiPriority w:val="40"/>
    <w:qFormat/>
    <w:rsid w:val="0093527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110">
    <w:name w:val="无格式表格 11"/>
    <w:basedOn w:val="a4"/>
    <w:uiPriority w:val="41"/>
    <w:qFormat/>
    <w:rsid w:val="0093527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ff5">
    <w:name w:val="闻政表文字"/>
    <w:basedOn w:val="a2"/>
    <w:link w:val="aff6"/>
    <w:uiPriority w:val="5"/>
    <w:qFormat/>
    <w:rsid w:val="00935273"/>
    <w:pPr>
      <w:widowControl/>
      <w:spacing w:line="320" w:lineRule="exact"/>
      <w:ind w:firstLineChars="0" w:firstLine="0"/>
      <w:jc w:val="center"/>
    </w:pPr>
    <w:rPr>
      <w:rFonts w:cs="宋体"/>
      <w:bCs/>
      <w:color w:val="000000"/>
      <w:sz w:val="22"/>
      <w:szCs w:val="22"/>
    </w:rPr>
  </w:style>
  <w:style w:type="character" w:customStyle="1" w:styleId="aff6">
    <w:name w:val="闻政表文字 字符"/>
    <w:basedOn w:val="Char0"/>
    <w:link w:val="aff5"/>
    <w:uiPriority w:val="5"/>
    <w:qFormat/>
    <w:rsid w:val="00935273"/>
    <w:rPr>
      <w:rFonts w:ascii="Times New Roman" w:eastAsia="仿宋_GB2312" w:hAnsi="Times New Roman" w:cs="宋体"/>
      <w:bCs/>
      <w:color w:val="000000"/>
      <w:kern w:val="0"/>
      <w:sz w:val="22"/>
      <w:szCs w:val="22"/>
      <w:lang w:val="zh-CN" w:eastAsia="zh-CN"/>
    </w:rPr>
  </w:style>
  <w:style w:type="paragraph" w:customStyle="1" w:styleId="-">
    <w:name w:val="正文-闻政"/>
    <w:link w:val="-Char"/>
    <w:qFormat/>
    <w:rsid w:val="00935273"/>
    <w:pPr>
      <w:spacing w:line="500" w:lineRule="exact"/>
      <w:ind w:firstLineChars="200" w:firstLine="200"/>
      <w:jc w:val="both"/>
    </w:pPr>
    <w:rPr>
      <w:rFonts w:eastAsia="仿宋_GB2312"/>
      <w:kern w:val="2"/>
      <w:sz w:val="28"/>
      <w:szCs w:val="22"/>
    </w:rPr>
  </w:style>
  <w:style w:type="character" w:customStyle="1" w:styleId="-Char">
    <w:name w:val="正文-闻政 Char"/>
    <w:link w:val="-"/>
    <w:qFormat/>
    <w:rsid w:val="00935273"/>
    <w:rPr>
      <w:rFonts w:ascii="Times New Roman" w:eastAsia="仿宋_GB2312" w:hAnsi="Times New Roman" w:cs="Times New Roman"/>
      <w:kern w:val="2"/>
      <w:sz w:val="28"/>
      <w:szCs w:val="22"/>
      <w:lang w:val="en-US" w:eastAsia="zh-CN" w:bidi="ar-SA"/>
    </w:rPr>
  </w:style>
  <w:style w:type="paragraph" w:customStyle="1" w:styleId="aff7">
    <w:name w:val="闻政表"/>
    <w:basedOn w:val="a0"/>
    <w:link w:val="Char8"/>
    <w:qFormat/>
    <w:rsid w:val="00935273"/>
    <w:pPr>
      <w:spacing w:before="60" w:after="60"/>
      <w:jc w:val="center"/>
    </w:pPr>
    <w:rPr>
      <w:rFonts w:eastAsia="仿宋_GB2312"/>
      <w:b/>
      <w:sz w:val="24"/>
      <w:szCs w:val="28"/>
    </w:rPr>
  </w:style>
  <w:style w:type="character" w:customStyle="1" w:styleId="Char8">
    <w:name w:val="闻政表 Char"/>
    <w:link w:val="aff7"/>
    <w:qFormat/>
    <w:rsid w:val="00935273"/>
    <w:rPr>
      <w:rFonts w:eastAsia="仿宋_GB2312"/>
      <w:b/>
      <w:kern w:val="2"/>
      <w:sz w:val="24"/>
      <w:szCs w:val="28"/>
    </w:rPr>
  </w:style>
  <w:style w:type="paragraph" w:styleId="aff8">
    <w:name w:val="List Paragraph"/>
    <w:basedOn w:val="a0"/>
    <w:uiPriority w:val="99"/>
    <w:qFormat/>
    <w:rsid w:val="00935273"/>
    <w:pPr>
      <w:ind w:firstLineChars="200" w:firstLine="420"/>
    </w:pPr>
  </w:style>
  <w:style w:type="paragraph" w:customStyle="1" w:styleId="Char10">
    <w:name w:val="Char1"/>
    <w:basedOn w:val="a0"/>
    <w:rsid w:val="00935273"/>
    <w:pPr>
      <w:widowControl/>
      <w:spacing w:after="160" w:line="240" w:lineRule="exact"/>
      <w:jc w:val="left"/>
    </w:pPr>
    <w:rPr>
      <w:rFonts w:ascii="Times New Roman" w:eastAsia="宋体" w:hAnsi="Times New Roman" w:cs="Times New Roman"/>
      <w:sz w:val="32"/>
      <w:szCs w:val="20"/>
    </w:rPr>
  </w:style>
  <w:style w:type="character" w:customStyle="1" w:styleId="font21">
    <w:name w:val="font21"/>
    <w:qFormat/>
    <w:rsid w:val="00A41C90"/>
    <w:rPr>
      <w:rFonts w:ascii="Times New Roman" w:hAnsi="Times New Roman" w:cs="Times New Roman" w:hint="default"/>
      <w:color w:val="000000"/>
      <w:sz w:val="20"/>
      <w:szCs w:val="20"/>
      <w:u w:val="none"/>
    </w:rPr>
  </w:style>
  <w:style w:type="paragraph" w:styleId="aff9">
    <w:name w:val="Body Text Indent"/>
    <w:basedOn w:val="a0"/>
    <w:link w:val="Char9"/>
    <w:uiPriority w:val="99"/>
    <w:semiHidden/>
    <w:unhideWhenUsed/>
    <w:rsid w:val="00A41C90"/>
    <w:pPr>
      <w:spacing w:after="120"/>
      <w:ind w:leftChars="200" w:left="420"/>
    </w:pPr>
  </w:style>
  <w:style w:type="character" w:customStyle="1" w:styleId="Char9">
    <w:name w:val="正文文本缩进 Char"/>
    <w:basedOn w:val="a3"/>
    <w:link w:val="aff9"/>
    <w:uiPriority w:val="99"/>
    <w:semiHidden/>
    <w:rsid w:val="00A41C90"/>
    <w:rPr>
      <w:rFonts w:asciiTheme="minorHAnsi" w:eastAsiaTheme="minorEastAsia" w:hAnsiTheme="minorHAnsi" w:cstheme="minorBidi"/>
      <w:kern w:val="2"/>
      <w:sz w:val="21"/>
      <w:szCs w:val="21"/>
    </w:rPr>
  </w:style>
  <w:style w:type="paragraph" w:styleId="21">
    <w:name w:val="Body Text First Indent 2"/>
    <w:basedOn w:val="aff9"/>
    <w:link w:val="2Char0"/>
    <w:uiPriority w:val="99"/>
    <w:semiHidden/>
    <w:unhideWhenUsed/>
    <w:rsid w:val="00A41C90"/>
    <w:pPr>
      <w:ind w:firstLineChars="200" w:firstLine="420"/>
    </w:pPr>
  </w:style>
  <w:style w:type="character" w:customStyle="1" w:styleId="2Char0">
    <w:name w:val="正文首行缩进 2 Char"/>
    <w:basedOn w:val="Char9"/>
    <w:link w:val="21"/>
    <w:uiPriority w:val="99"/>
    <w:semiHidden/>
    <w:rsid w:val="00A41C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30355994">
      <w:bodyDiv w:val="1"/>
      <w:marLeft w:val="0"/>
      <w:marRight w:val="0"/>
      <w:marTop w:val="0"/>
      <w:marBottom w:val="0"/>
      <w:divBdr>
        <w:top w:val="none" w:sz="0" w:space="0" w:color="auto"/>
        <w:left w:val="none" w:sz="0" w:space="0" w:color="auto"/>
        <w:bottom w:val="none" w:sz="0" w:space="0" w:color="auto"/>
        <w:right w:val="none" w:sz="0" w:space="0" w:color="auto"/>
      </w:divBdr>
    </w:div>
    <w:div w:id="2068453224">
      <w:bodyDiv w:val="1"/>
      <w:marLeft w:val="0"/>
      <w:marRight w:val="0"/>
      <w:marTop w:val="0"/>
      <w:marBottom w:val="0"/>
      <w:divBdr>
        <w:top w:val="none" w:sz="0" w:space="0" w:color="auto"/>
        <w:left w:val="none" w:sz="0" w:space="0" w:color="auto"/>
        <w:bottom w:val="none" w:sz="0" w:space="0" w:color="auto"/>
        <w:right w:val="none" w:sz="0" w:space="0" w:color="auto"/>
      </w:divBdr>
    </w:div>
    <w:div w:id="2129933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04-&#38395;&#25919;-&#26684;&#24335;&#27169;&#26495;-20190219-&#26356;&#26032;-v3.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88EB0B-DF3D-46CE-8F97-A5DC06E48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04-闻政-格式模板-20190219-更新-v3.dotm</Template>
  <TotalTime>2600</TotalTime>
  <Pages>38</Pages>
  <Words>3934</Words>
  <Characters>22426</Characters>
  <Application>Microsoft Office Word</Application>
  <DocSecurity>0</DocSecurity>
  <Lines>186</Lines>
  <Paragraphs>52</Paragraphs>
  <ScaleCrop>false</ScaleCrop>
  <Company/>
  <LinksUpToDate>false</LinksUpToDate>
  <CharactersWithSpaces>26308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张恩华</dc:creator>
  <cp:lastModifiedBy>Administrator</cp:lastModifiedBy>
  <cp:revision>33</cp:revision>
  <dcterms:created xsi:type="dcterms:W3CDTF">2021-03-31T09:26:00Z</dcterms:created>
  <dcterms:modified xsi:type="dcterms:W3CDTF">2021-04-29T01:27:00Z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